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75289" w14:textId="22E02049" w:rsidR="008927B8" w:rsidRDefault="00407F82" w:rsidP="00B51C88">
      <w:pPr>
        <w:spacing w:after="0" w:line="240" w:lineRule="auto"/>
        <w:jc w:val="both"/>
        <w:rPr>
          <w:rFonts w:ascii="Times New Roman" w:hAnsi="Times New Roman"/>
          <w:b/>
          <w:sz w:val="24"/>
        </w:rPr>
      </w:pPr>
      <w:r>
        <w:rPr>
          <w:rFonts w:ascii="Times New Roman" w:hAnsi="Times New Roman"/>
          <w:b/>
          <w:sz w:val="24"/>
        </w:rPr>
        <w:t>STF-JKA-1-11</w:t>
      </w:r>
    </w:p>
    <w:p w14:paraId="62B23C35" w14:textId="77777777" w:rsidR="00B51C88" w:rsidRDefault="00B51C88" w:rsidP="00B51C88">
      <w:pPr>
        <w:spacing w:after="0" w:line="240" w:lineRule="auto"/>
        <w:jc w:val="both"/>
      </w:pPr>
    </w:p>
    <w:p w14:paraId="1BC94EEB" w14:textId="77777777" w:rsidR="00B51C88" w:rsidRDefault="00407F82" w:rsidP="00B51C88">
      <w:pPr>
        <w:spacing w:after="0" w:line="240" w:lineRule="auto"/>
        <w:jc w:val="both"/>
        <w:rPr>
          <w:rFonts w:ascii="Times New Roman" w:hAnsi="Times New Roman"/>
          <w:sz w:val="24"/>
          <w:u w:val="single"/>
        </w:rPr>
      </w:pPr>
      <w:r>
        <w:rPr>
          <w:rFonts w:ascii="Times New Roman" w:hAnsi="Times New Roman"/>
          <w:sz w:val="24"/>
          <w:u w:val="single"/>
        </w:rPr>
        <w:t>Question:</w:t>
      </w:r>
    </w:p>
    <w:p w14:paraId="5482DCE9" w14:textId="074922D1" w:rsidR="008927B8" w:rsidRDefault="00407F82" w:rsidP="00B51C88">
      <w:pPr>
        <w:spacing w:after="0" w:line="240" w:lineRule="auto"/>
        <w:jc w:val="both"/>
        <w:rPr>
          <w:rFonts w:ascii="Times New Roman" w:hAnsi="Times New Roman"/>
          <w:sz w:val="24"/>
        </w:rPr>
      </w:pPr>
      <w:r>
        <w:rPr>
          <w:rFonts w:ascii="Times New Roman" w:hAnsi="Times New Roman"/>
          <w:sz w:val="24"/>
          <w:u w:val="single"/>
        </w:rPr>
        <w:br/>
      </w:r>
      <w:r>
        <w:rPr>
          <w:rFonts w:ascii="Times New Roman" w:hAnsi="Times New Roman"/>
          <w:sz w:val="24"/>
        </w:rPr>
        <w:t>Regarding interconnection and build limits modeled for generic resources:</w:t>
      </w:r>
    </w:p>
    <w:p w14:paraId="3821AB04" w14:textId="77777777" w:rsidR="00FF6BC0" w:rsidRDefault="00FF6BC0" w:rsidP="00B51C88">
      <w:pPr>
        <w:spacing w:after="0" w:line="240" w:lineRule="auto"/>
        <w:jc w:val="both"/>
      </w:pPr>
    </w:p>
    <w:p w14:paraId="3B61C5D7" w14:textId="67A3E2EB" w:rsidR="008927B8" w:rsidRDefault="00407F82" w:rsidP="00B51C88">
      <w:pPr>
        <w:pStyle w:val="ListParagraph"/>
        <w:numPr>
          <w:ilvl w:val="0"/>
          <w:numId w:val="15"/>
        </w:numPr>
        <w:contextualSpacing w:val="0"/>
        <w:jc w:val="both"/>
      </w:pPr>
      <w:r w:rsidRPr="00B51C88">
        <w:rPr>
          <w:rFonts w:ascii="Times New Roman" w:hAnsi="Times New Roman"/>
          <w:sz w:val="24"/>
        </w:rPr>
        <w:t xml:space="preserve">For all the modeled portfolios, provide any annual and cumulative build limits that were modeled by resource. Also, provide all workpapers used to derive the limits as used in Aurora modeling in the IRP.  </w:t>
      </w:r>
    </w:p>
    <w:p w14:paraId="30EF91DD" w14:textId="5BF4034C" w:rsidR="008927B8" w:rsidRDefault="00407F82" w:rsidP="00B51C88">
      <w:pPr>
        <w:pStyle w:val="ListParagraph"/>
        <w:numPr>
          <w:ilvl w:val="0"/>
          <w:numId w:val="15"/>
        </w:numPr>
        <w:contextualSpacing w:val="0"/>
        <w:jc w:val="both"/>
      </w:pPr>
      <w:r w:rsidRPr="00B51C88">
        <w:rPr>
          <w:rFonts w:ascii="Times New Roman" w:hAnsi="Times New Roman"/>
          <w:sz w:val="24"/>
        </w:rPr>
        <w:t xml:space="preserve">Has Georgia Power changed any annual or cumulative build limits between </w:t>
      </w:r>
      <w:r w:rsidR="005B30DD" w:rsidRPr="00B51C88">
        <w:rPr>
          <w:rFonts w:ascii="Times New Roman" w:hAnsi="Times New Roman"/>
          <w:sz w:val="24"/>
        </w:rPr>
        <w:t>the 2023 IRP Update</w:t>
      </w:r>
      <w:r w:rsidRPr="00B51C88">
        <w:rPr>
          <w:rFonts w:ascii="Times New Roman" w:hAnsi="Times New Roman"/>
          <w:sz w:val="24"/>
        </w:rPr>
        <w:t xml:space="preserve"> and the 2025 IRP? Explain what has changed and why, if applicable.</w:t>
      </w:r>
    </w:p>
    <w:p w14:paraId="71BB8D12" w14:textId="58FDD838" w:rsidR="008927B8" w:rsidRDefault="00407F82" w:rsidP="00B51C88">
      <w:pPr>
        <w:pStyle w:val="ListParagraph"/>
        <w:numPr>
          <w:ilvl w:val="0"/>
          <w:numId w:val="15"/>
        </w:numPr>
        <w:contextualSpacing w:val="0"/>
        <w:jc w:val="both"/>
      </w:pPr>
      <w:r w:rsidRPr="00B51C88">
        <w:rPr>
          <w:rFonts w:ascii="Times New Roman" w:hAnsi="Times New Roman"/>
          <w:sz w:val="24"/>
          <w:szCs w:val="24"/>
        </w:rPr>
        <w:t>Provide supporting industry information, justification, and support for the interconnection and/or build limit assumptions utilized.</w:t>
      </w:r>
    </w:p>
    <w:p w14:paraId="431FD7D0" w14:textId="7980AF02" w:rsidR="008927B8" w:rsidRDefault="00407F82" w:rsidP="00B51C88">
      <w:pPr>
        <w:pStyle w:val="ListParagraph"/>
        <w:numPr>
          <w:ilvl w:val="0"/>
          <w:numId w:val="15"/>
        </w:numPr>
        <w:contextualSpacing w:val="0"/>
        <w:jc w:val="both"/>
      </w:pPr>
      <w:r w:rsidRPr="00B51C88">
        <w:rPr>
          <w:rFonts w:ascii="Times New Roman" w:hAnsi="Times New Roman"/>
          <w:sz w:val="24"/>
        </w:rPr>
        <w:t>Please describe any firm transportation and/or gas availability assumptions considered in the development of the limits modeled.</w:t>
      </w:r>
    </w:p>
    <w:p w14:paraId="37A70C2C" w14:textId="00B1EC06" w:rsidR="008927B8" w:rsidRDefault="00407F82" w:rsidP="00B51C88">
      <w:pPr>
        <w:pStyle w:val="ListParagraph"/>
        <w:numPr>
          <w:ilvl w:val="0"/>
          <w:numId w:val="15"/>
        </w:numPr>
        <w:contextualSpacing w:val="0"/>
        <w:jc w:val="both"/>
      </w:pPr>
      <w:r w:rsidRPr="00B51C88">
        <w:rPr>
          <w:rFonts w:ascii="Times New Roman" w:hAnsi="Times New Roman"/>
          <w:sz w:val="24"/>
        </w:rPr>
        <w:t>What contractual commitments or financial commitments, if any, has Georgia Power/SCS/Southern Company made to Transco for Southeast Supply Enhancement (SSE) project as of January 15, 2025?</w:t>
      </w:r>
    </w:p>
    <w:p w14:paraId="1E8AC403" w14:textId="71FB57F2" w:rsidR="008927B8" w:rsidRDefault="00407F82" w:rsidP="00B51C88">
      <w:pPr>
        <w:pStyle w:val="ListParagraph"/>
        <w:numPr>
          <w:ilvl w:val="0"/>
          <w:numId w:val="15"/>
        </w:numPr>
        <w:contextualSpacing w:val="0"/>
        <w:jc w:val="both"/>
      </w:pPr>
      <w:r w:rsidRPr="00B51C88">
        <w:rPr>
          <w:rFonts w:ascii="Times New Roman" w:hAnsi="Times New Roman"/>
          <w:sz w:val="24"/>
        </w:rPr>
        <w:t>What contractual commitments or financial commitments, if any, has Georgia Power/SCS/Southern Company made to SNG for South System 4 (SS4) project as of January 15, 2025?</w:t>
      </w:r>
    </w:p>
    <w:p w14:paraId="4C8E5A44" w14:textId="58376D20" w:rsidR="008927B8" w:rsidRDefault="00407F82" w:rsidP="00B51C88">
      <w:pPr>
        <w:pStyle w:val="ListParagraph"/>
        <w:numPr>
          <w:ilvl w:val="0"/>
          <w:numId w:val="15"/>
        </w:numPr>
        <w:contextualSpacing w:val="0"/>
        <w:jc w:val="both"/>
      </w:pPr>
      <w:r w:rsidRPr="00B51C88">
        <w:rPr>
          <w:rFonts w:ascii="Times New Roman" w:hAnsi="Times New Roman"/>
          <w:sz w:val="24"/>
        </w:rPr>
        <w:t xml:space="preserve">What contractual commitments or financial commitments, if any, has Georgia Power/SCS/Southern Company made to Transco for FT on Station 85 receipt area (West Alabama) northeast to Georgia as of January 15, 2025? </w:t>
      </w:r>
    </w:p>
    <w:p w14:paraId="0C29BEDE" w14:textId="77777777" w:rsidR="008927B8" w:rsidRDefault="00407F82" w:rsidP="00B51C88">
      <w:pPr>
        <w:jc w:val="both"/>
        <w:rPr>
          <w:rFonts w:ascii="Times New Roman" w:hAnsi="Times New Roman"/>
          <w:sz w:val="24"/>
          <w:u w:val="single"/>
        </w:rPr>
      </w:pPr>
      <w:r>
        <w:rPr>
          <w:rFonts w:ascii="Times New Roman" w:hAnsi="Times New Roman"/>
          <w:sz w:val="24"/>
          <w:u w:val="single"/>
        </w:rPr>
        <w:t xml:space="preserve">Response: </w:t>
      </w:r>
    </w:p>
    <w:p w14:paraId="4C325FB1" w14:textId="2BCA5457" w:rsidR="00FE25CF" w:rsidRDefault="00955A07" w:rsidP="00B51C88">
      <w:pPr>
        <w:pStyle w:val="ListParagraph"/>
        <w:numPr>
          <w:ilvl w:val="0"/>
          <w:numId w:val="10"/>
        </w:numPr>
        <w:spacing w:line="240" w:lineRule="auto"/>
        <w:contextualSpacing w:val="0"/>
        <w:jc w:val="both"/>
        <w:rPr>
          <w:rFonts w:ascii="Times New Roman" w:hAnsi="Times New Roman" w:cs="Times New Roman"/>
          <w:sz w:val="24"/>
          <w:szCs w:val="24"/>
        </w:rPr>
      </w:pPr>
      <w:r w:rsidRPr="0043048E">
        <w:rPr>
          <w:rFonts w:ascii="Times New Roman" w:hAnsi="Times New Roman" w:cs="Times New Roman"/>
          <w:sz w:val="24"/>
          <w:szCs w:val="24"/>
        </w:rPr>
        <w:t>See</w:t>
      </w:r>
      <w:r w:rsidR="00515BF6" w:rsidRPr="0043048E">
        <w:rPr>
          <w:rFonts w:ascii="Times New Roman" w:hAnsi="Times New Roman" w:cs="Times New Roman"/>
          <w:sz w:val="24"/>
          <w:szCs w:val="24"/>
        </w:rPr>
        <w:t xml:space="preserve"> </w:t>
      </w:r>
      <w:r w:rsidR="00587C6F" w:rsidRPr="0043048E">
        <w:rPr>
          <w:rFonts w:ascii="Times New Roman" w:hAnsi="Times New Roman" w:cs="Times New Roman"/>
          <w:sz w:val="24"/>
          <w:szCs w:val="24"/>
        </w:rPr>
        <w:t xml:space="preserve">2025 IRP Technical Appendix Vol 2 Resource Mix Study for </w:t>
      </w:r>
      <w:r w:rsidR="007E72C6" w:rsidRPr="0043048E">
        <w:rPr>
          <w:rFonts w:ascii="Times New Roman" w:hAnsi="Times New Roman" w:cs="Times New Roman"/>
          <w:sz w:val="24"/>
          <w:szCs w:val="24"/>
        </w:rPr>
        <w:t xml:space="preserve">all modeled </w:t>
      </w:r>
      <w:r w:rsidR="00360DAA" w:rsidRPr="0043048E">
        <w:rPr>
          <w:rFonts w:ascii="Times New Roman" w:hAnsi="Times New Roman" w:cs="Times New Roman"/>
          <w:sz w:val="24"/>
          <w:szCs w:val="24"/>
        </w:rPr>
        <w:t xml:space="preserve">annual and cumulative build limits. </w:t>
      </w:r>
      <w:r w:rsidR="00976EFB">
        <w:rPr>
          <w:rFonts w:ascii="Times New Roman" w:hAnsi="Times New Roman" w:cs="Times New Roman"/>
          <w:sz w:val="24"/>
          <w:szCs w:val="24"/>
        </w:rPr>
        <w:t>Additionally, s</w:t>
      </w:r>
      <w:r w:rsidR="00360DAA" w:rsidRPr="0043048E">
        <w:rPr>
          <w:rFonts w:ascii="Times New Roman" w:hAnsi="Times New Roman" w:cs="Times New Roman"/>
          <w:sz w:val="24"/>
          <w:szCs w:val="24"/>
        </w:rPr>
        <w:t xml:space="preserve">ee </w:t>
      </w:r>
      <w:r w:rsidR="0DE03B6A" w:rsidRPr="355B7C63">
        <w:rPr>
          <w:rFonts w:ascii="Times New Roman" w:hAnsi="Times New Roman" w:cs="Times New Roman"/>
          <w:sz w:val="24"/>
          <w:szCs w:val="24"/>
        </w:rPr>
        <w:t>STF-</w:t>
      </w:r>
      <w:r w:rsidR="00360DAA" w:rsidRPr="355B7C63">
        <w:rPr>
          <w:rFonts w:ascii="Times New Roman" w:hAnsi="Times New Roman" w:cs="Times New Roman"/>
          <w:sz w:val="24"/>
          <w:szCs w:val="24"/>
        </w:rPr>
        <w:t>JKA</w:t>
      </w:r>
      <w:r w:rsidR="00360DAA" w:rsidRPr="0043048E">
        <w:rPr>
          <w:rFonts w:ascii="Times New Roman" w:hAnsi="Times New Roman" w:cs="Times New Roman"/>
          <w:sz w:val="24"/>
          <w:szCs w:val="24"/>
        </w:rPr>
        <w:t>-1-11</w:t>
      </w:r>
      <w:r w:rsidR="00BF33C8" w:rsidRPr="0043048E">
        <w:rPr>
          <w:rFonts w:ascii="Times New Roman" w:hAnsi="Times New Roman" w:cs="Times New Roman"/>
          <w:sz w:val="24"/>
          <w:szCs w:val="24"/>
        </w:rPr>
        <w:t xml:space="preserve"> Attachment A</w:t>
      </w:r>
      <w:r w:rsidR="002F0AF4">
        <w:rPr>
          <w:rFonts w:ascii="Times New Roman" w:hAnsi="Times New Roman" w:cs="Times New Roman"/>
          <w:sz w:val="24"/>
          <w:szCs w:val="24"/>
        </w:rPr>
        <w:t xml:space="preserve"> TRADE SECRET</w:t>
      </w:r>
      <w:r w:rsidR="00BF33C8" w:rsidRPr="0043048E">
        <w:rPr>
          <w:rFonts w:ascii="Times New Roman" w:hAnsi="Times New Roman" w:cs="Times New Roman"/>
          <w:sz w:val="24"/>
          <w:szCs w:val="24"/>
        </w:rPr>
        <w:t xml:space="preserve"> </w:t>
      </w:r>
      <w:r w:rsidR="00EB3250" w:rsidRPr="0043048E">
        <w:rPr>
          <w:rFonts w:ascii="Times New Roman" w:hAnsi="Times New Roman" w:cs="Times New Roman"/>
          <w:sz w:val="24"/>
          <w:szCs w:val="24"/>
        </w:rPr>
        <w:t xml:space="preserve">for </w:t>
      </w:r>
      <w:r w:rsidR="00641EAE" w:rsidRPr="0043048E">
        <w:rPr>
          <w:rFonts w:ascii="Times New Roman" w:hAnsi="Times New Roman" w:cs="Times New Roman"/>
          <w:sz w:val="24"/>
          <w:szCs w:val="24"/>
        </w:rPr>
        <w:t xml:space="preserve">derivation of the </w:t>
      </w:r>
      <w:r w:rsidR="00175F77" w:rsidRPr="0043048E">
        <w:rPr>
          <w:rFonts w:ascii="Times New Roman" w:hAnsi="Times New Roman" w:cs="Times New Roman"/>
          <w:sz w:val="24"/>
          <w:szCs w:val="24"/>
        </w:rPr>
        <w:t xml:space="preserve">natural gas firm </w:t>
      </w:r>
      <w:r w:rsidR="00533791" w:rsidRPr="0043048E">
        <w:rPr>
          <w:rFonts w:ascii="Times New Roman" w:hAnsi="Times New Roman" w:cs="Times New Roman"/>
          <w:sz w:val="24"/>
          <w:szCs w:val="24"/>
        </w:rPr>
        <w:t xml:space="preserve">transportation (“FT”) </w:t>
      </w:r>
      <w:r w:rsidR="00F64AFF" w:rsidRPr="0043048E">
        <w:rPr>
          <w:rFonts w:ascii="Times New Roman" w:hAnsi="Times New Roman" w:cs="Times New Roman"/>
          <w:sz w:val="24"/>
          <w:szCs w:val="24"/>
        </w:rPr>
        <w:t>a</w:t>
      </w:r>
      <w:r w:rsidR="00641EAE" w:rsidRPr="0043048E">
        <w:rPr>
          <w:rFonts w:ascii="Times New Roman" w:hAnsi="Times New Roman" w:cs="Times New Roman"/>
          <w:sz w:val="24"/>
          <w:szCs w:val="24"/>
        </w:rPr>
        <w:t>vailability limit</w:t>
      </w:r>
      <w:r w:rsidR="00BE3D0E">
        <w:rPr>
          <w:rFonts w:ascii="Times New Roman" w:hAnsi="Times New Roman" w:cs="Times New Roman"/>
          <w:sz w:val="24"/>
          <w:szCs w:val="24"/>
        </w:rPr>
        <w:t xml:space="preserve"> used for </w:t>
      </w:r>
      <w:r w:rsidR="0066747D">
        <w:rPr>
          <w:rFonts w:ascii="Times New Roman" w:hAnsi="Times New Roman" w:cs="Times New Roman"/>
          <w:sz w:val="24"/>
          <w:szCs w:val="24"/>
        </w:rPr>
        <w:t>expansion CC</w:t>
      </w:r>
      <w:r w:rsidR="00947EF5">
        <w:rPr>
          <w:rFonts w:ascii="Times New Roman" w:hAnsi="Times New Roman" w:cs="Times New Roman"/>
          <w:sz w:val="24"/>
          <w:szCs w:val="24"/>
        </w:rPr>
        <w:t xml:space="preserve"> resources</w:t>
      </w:r>
      <w:r w:rsidR="00641EAE" w:rsidRPr="0043048E">
        <w:rPr>
          <w:rFonts w:ascii="Times New Roman" w:hAnsi="Times New Roman" w:cs="Times New Roman"/>
          <w:sz w:val="24"/>
          <w:szCs w:val="24"/>
        </w:rPr>
        <w:t xml:space="preserve">. </w:t>
      </w:r>
    </w:p>
    <w:p w14:paraId="2DA0563A" w14:textId="2F5473C7" w:rsidR="0043048E" w:rsidRPr="0043048E" w:rsidRDefault="0043048E" w:rsidP="00B51C88">
      <w:pPr>
        <w:pStyle w:val="ListParagraph"/>
        <w:numPr>
          <w:ilvl w:val="0"/>
          <w:numId w:val="10"/>
        </w:numPr>
        <w:spacing w:line="240" w:lineRule="auto"/>
        <w:contextualSpacing w:val="0"/>
        <w:jc w:val="both"/>
        <w:rPr>
          <w:rFonts w:ascii="Times New Roman" w:hAnsi="Times New Roman" w:cs="Times New Roman"/>
          <w:sz w:val="24"/>
          <w:szCs w:val="24"/>
        </w:rPr>
      </w:pPr>
      <w:r w:rsidRPr="0043048E">
        <w:rPr>
          <w:rFonts w:ascii="Times New Roman" w:eastAsia="Aptos" w:hAnsi="Times New Roman" w:cs="Times New Roman"/>
          <w:kern w:val="2"/>
          <w:sz w:val="24"/>
          <w:szCs w:val="24"/>
          <w14:ligatures w14:val="standardContextual"/>
        </w:rPr>
        <w:t xml:space="preserve">Table 1 below summarizes the build limits assumed in </w:t>
      </w:r>
      <w:r w:rsidR="005B30DD">
        <w:rPr>
          <w:rFonts w:ascii="Times New Roman" w:eastAsia="Aptos" w:hAnsi="Times New Roman" w:cs="Times New Roman"/>
          <w:kern w:val="2"/>
          <w:sz w:val="24"/>
          <w:szCs w:val="24"/>
          <w14:ligatures w14:val="standardContextual"/>
        </w:rPr>
        <w:t>2025 IRP</w:t>
      </w:r>
      <w:r w:rsidRPr="0043048E">
        <w:rPr>
          <w:rFonts w:ascii="Times New Roman" w:eastAsia="Aptos" w:hAnsi="Times New Roman" w:cs="Times New Roman"/>
          <w:kern w:val="2"/>
          <w:sz w:val="24"/>
          <w:szCs w:val="24"/>
          <w14:ligatures w14:val="standardContextual"/>
        </w:rPr>
        <w:t xml:space="preserve"> capacity expansion modeling and provides a comparison with assumptions</w:t>
      </w:r>
      <w:r>
        <w:rPr>
          <w:rFonts w:ascii="Times New Roman" w:eastAsia="Aptos" w:hAnsi="Times New Roman" w:cs="Times New Roman"/>
          <w:kern w:val="2"/>
          <w:sz w:val="24"/>
          <w:szCs w:val="24"/>
          <w14:ligatures w14:val="standardContextual"/>
        </w:rPr>
        <w:t xml:space="preserve"> in the</w:t>
      </w:r>
      <w:r w:rsidR="005B30DD">
        <w:rPr>
          <w:rFonts w:ascii="Times New Roman" w:eastAsia="Aptos" w:hAnsi="Times New Roman" w:cs="Times New Roman"/>
          <w:kern w:val="2"/>
          <w:sz w:val="24"/>
          <w:szCs w:val="24"/>
          <w14:ligatures w14:val="standardContextual"/>
        </w:rPr>
        <w:t xml:space="preserve"> 2023 IRP Update</w:t>
      </w:r>
      <w:r w:rsidRPr="0043048E">
        <w:rPr>
          <w:rFonts w:ascii="Times New Roman" w:eastAsia="Aptos" w:hAnsi="Times New Roman" w:cs="Times New Roman"/>
          <w:kern w:val="2"/>
          <w:sz w:val="24"/>
          <w:szCs w:val="24"/>
          <w14:ligatures w14:val="standardContextual"/>
        </w:rPr>
        <w:t xml:space="preserve">.  </w:t>
      </w:r>
    </w:p>
    <w:p w14:paraId="7B18C17D" w14:textId="77777777" w:rsidR="0043048E" w:rsidRPr="0043048E" w:rsidRDefault="0043048E" w:rsidP="00B51C88">
      <w:pPr>
        <w:keepNext/>
        <w:spacing w:after="160" w:line="240" w:lineRule="auto"/>
        <w:ind w:left="720" w:firstLine="720"/>
        <w:rPr>
          <w:rFonts w:ascii="Times New Roman" w:eastAsia="Aptos" w:hAnsi="Times New Roman" w:cs="Times New Roman"/>
          <w:b/>
          <w:bCs/>
          <w:kern w:val="2"/>
          <w:sz w:val="24"/>
          <w:szCs w:val="24"/>
          <w14:ligatures w14:val="standardContextual"/>
        </w:rPr>
      </w:pPr>
      <w:r w:rsidRPr="0043048E">
        <w:rPr>
          <w:rFonts w:ascii="Times New Roman" w:eastAsia="Aptos" w:hAnsi="Times New Roman" w:cs="Times New Roman"/>
          <w:b/>
          <w:bCs/>
          <w:kern w:val="2"/>
          <w:sz w:val="24"/>
          <w:szCs w:val="24"/>
          <w14:ligatures w14:val="standardContextual"/>
        </w:rPr>
        <w:lastRenderedPageBreak/>
        <w:t>Table 1. Summary of Limits on Expansion Units.</w:t>
      </w:r>
    </w:p>
    <w:tbl>
      <w:tblPr>
        <w:tblStyle w:val="TableGrid1"/>
        <w:tblW w:w="0" w:type="auto"/>
        <w:tblCellMar>
          <w:left w:w="14" w:type="dxa"/>
        </w:tblCellMar>
        <w:tblLook w:val="04A0" w:firstRow="1" w:lastRow="0" w:firstColumn="1" w:lastColumn="0" w:noHBand="0" w:noVBand="1"/>
      </w:tblPr>
      <w:tblGrid>
        <w:gridCol w:w="1287"/>
        <w:gridCol w:w="4119"/>
        <w:gridCol w:w="3955"/>
      </w:tblGrid>
      <w:tr w:rsidR="0043048E" w:rsidRPr="0043048E" w14:paraId="601C1426" w14:textId="77777777" w:rsidTr="000A3995">
        <w:trPr>
          <w:trHeight w:val="432"/>
        </w:trPr>
        <w:tc>
          <w:tcPr>
            <w:tcW w:w="1276" w:type="dxa"/>
            <w:shd w:val="clear" w:color="auto" w:fill="0070C0"/>
          </w:tcPr>
          <w:p w14:paraId="7FC3D11E" w14:textId="77777777" w:rsidR="0043048E" w:rsidRPr="0043048E" w:rsidRDefault="0043048E" w:rsidP="00B51C88">
            <w:pPr>
              <w:jc w:val="center"/>
              <w:rPr>
                <w:rFonts w:ascii="Times New Roman" w:hAnsi="Times New Roman" w:cs="Times New Roman"/>
                <w:b/>
                <w:bCs/>
                <w:color w:val="FFFFFF"/>
              </w:rPr>
            </w:pPr>
            <w:r w:rsidRPr="0043048E">
              <w:rPr>
                <w:rFonts w:ascii="Times New Roman" w:hAnsi="Times New Roman" w:cs="Times New Roman"/>
                <w:b/>
                <w:bCs/>
                <w:color w:val="FFFFFF"/>
              </w:rPr>
              <w:t>Technology</w:t>
            </w:r>
          </w:p>
        </w:tc>
        <w:tc>
          <w:tcPr>
            <w:tcW w:w="4119" w:type="dxa"/>
            <w:shd w:val="clear" w:color="auto" w:fill="0070C0"/>
          </w:tcPr>
          <w:p w14:paraId="163A5DB8" w14:textId="0B266456" w:rsidR="0043048E" w:rsidRPr="0043048E" w:rsidRDefault="005B30DD" w:rsidP="00B51C88">
            <w:pPr>
              <w:jc w:val="center"/>
              <w:rPr>
                <w:rFonts w:ascii="Times New Roman" w:hAnsi="Times New Roman" w:cs="Times New Roman"/>
                <w:b/>
                <w:bCs/>
                <w:color w:val="FFFFFF"/>
              </w:rPr>
            </w:pPr>
            <w:r>
              <w:rPr>
                <w:rFonts w:ascii="Times New Roman" w:hAnsi="Times New Roman" w:cs="Times New Roman"/>
                <w:b/>
                <w:bCs/>
                <w:color w:val="FFFFFF"/>
              </w:rPr>
              <w:t>2023 IRP Update</w:t>
            </w:r>
          </w:p>
        </w:tc>
        <w:tc>
          <w:tcPr>
            <w:tcW w:w="3955" w:type="dxa"/>
            <w:shd w:val="clear" w:color="auto" w:fill="0070C0"/>
          </w:tcPr>
          <w:p w14:paraId="582A0C06" w14:textId="380C97C3" w:rsidR="0043048E" w:rsidRPr="0043048E" w:rsidRDefault="0043048E" w:rsidP="00B51C88">
            <w:pPr>
              <w:jc w:val="center"/>
              <w:rPr>
                <w:rFonts w:ascii="Times New Roman" w:hAnsi="Times New Roman" w:cs="Times New Roman"/>
                <w:b/>
                <w:bCs/>
                <w:color w:val="FFFFFF"/>
              </w:rPr>
            </w:pPr>
            <w:r w:rsidRPr="0043048E">
              <w:rPr>
                <w:rFonts w:ascii="Times New Roman" w:hAnsi="Times New Roman" w:cs="Times New Roman"/>
                <w:b/>
                <w:bCs/>
                <w:color w:val="FFFFFF"/>
              </w:rPr>
              <w:t>2025 IRP</w:t>
            </w:r>
          </w:p>
        </w:tc>
      </w:tr>
      <w:tr w:rsidR="0043048E" w:rsidRPr="0043048E" w14:paraId="29B4DC09" w14:textId="77777777" w:rsidTr="000A3995">
        <w:trPr>
          <w:trHeight w:val="432"/>
        </w:trPr>
        <w:tc>
          <w:tcPr>
            <w:tcW w:w="1276" w:type="dxa"/>
          </w:tcPr>
          <w:p w14:paraId="303DEB12" w14:textId="77777777" w:rsidR="0043048E" w:rsidRPr="0043048E" w:rsidRDefault="0043048E" w:rsidP="00B51C88">
            <w:pPr>
              <w:spacing w:after="160"/>
              <w:rPr>
                <w:rFonts w:ascii="Times New Roman" w:hAnsi="Times New Roman" w:cs="Times New Roman"/>
              </w:rPr>
            </w:pPr>
            <w:r w:rsidRPr="0043048E">
              <w:rPr>
                <w:rFonts w:ascii="Times New Roman" w:hAnsi="Times New Roman" w:cs="Times New Roman"/>
              </w:rPr>
              <w:t>CT w/SCR</w:t>
            </w:r>
          </w:p>
        </w:tc>
        <w:tc>
          <w:tcPr>
            <w:tcW w:w="4119" w:type="dxa"/>
          </w:tcPr>
          <w:p w14:paraId="526FCF47" w14:textId="77777777" w:rsidR="0043048E" w:rsidRPr="0043048E" w:rsidRDefault="0043048E" w:rsidP="00B51C88">
            <w:pPr>
              <w:numPr>
                <w:ilvl w:val="0"/>
                <w:numId w:val="11"/>
              </w:numPr>
              <w:rPr>
                <w:rFonts w:ascii="Times New Roman" w:hAnsi="Times New Roman" w:cs="Times New Roman"/>
              </w:rPr>
            </w:pPr>
            <w:r w:rsidRPr="0043048E">
              <w:rPr>
                <w:rFonts w:ascii="Times New Roman" w:hAnsi="Times New Roman" w:cs="Times New Roman"/>
              </w:rPr>
              <w:t>No limit</w:t>
            </w:r>
          </w:p>
        </w:tc>
        <w:tc>
          <w:tcPr>
            <w:tcW w:w="3955" w:type="dxa"/>
          </w:tcPr>
          <w:p w14:paraId="266FCA69" w14:textId="77777777" w:rsidR="0043048E" w:rsidRPr="0043048E" w:rsidRDefault="0043048E" w:rsidP="00B51C88">
            <w:pPr>
              <w:numPr>
                <w:ilvl w:val="0"/>
                <w:numId w:val="11"/>
              </w:numPr>
              <w:rPr>
                <w:rFonts w:ascii="Times New Roman" w:hAnsi="Times New Roman" w:cs="Times New Roman"/>
              </w:rPr>
            </w:pPr>
            <w:r w:rsidRPr="0043048E">
              <w:rPr>
                <w:rFonts w:ascii="Times New Roman" w:hAnsi="Times New Roman" w:cs="Times New Roman"/>
              </w:rPr>
              <w:t>No limit</w:t>
            </w:r>
          </w:p>
        </w:tc>
      </w:tr>
      <w:tr w:rsidR="0043048E" w:rsidRPr="0043048E" w14:paraId="71FF5ADE" w14:textId="77777777" w:rsidTr="000A3995">
        <w:trPr>
          <w:trHeight w:val="432"/>
        </w:trPr>
        <w:tc>
          <w:tcPr>
            <w:tcW w:w="1276" w:type="dxa"/>
          </w:tcPr>
          <w:p w14:paraId="1A6A2076" w14:textId="77777777" w:rsidR="0043048E" w:rsidRPr="0043048E" w:rsidRDefault="0043048E" w:rsidP="00B51C88">
            <w:pPr>
              <w:spacing w:after="160"/>
              <w:rPr>
                <w:rFonts w:ascii="Times New Roman" w:hAnsi="Times New Roman" w:cs="Times New Roman"/>
              </w:rPr>
            </w:pPr>
            <w:r w:rsidRPr="0043048E">
              <w:rPr>
                <w:rFonts w:ascii="Times New Roman" w:hAnsi="Times New Roman" w:cs="Times New Roman"/>
              </w:rPr>
              <w:t>CC</w:t>
            </w:r>
          </w:p>
        </w:tc>
        <w:tc>
          <w:tcPr>
            <w:tcW w:w="4119" w:type="dxa"/>
          </w:tcPr>
          <w:p w14:paraId="746C0483" w14:textId="77777777" w:rsidR="0043048E" w:rsidRPr="0043048E" w:rsidRDefault="0043048E" w:rsidP="00B51C88">
            <w:pPr>
              <w:numPr>
                <w:ilvl w:val="0"/>
                <w:numId w:val="11"/>
              </w:numPr>
              <w:rPr>
                <w:rFonts w:ascii="Times New Roman" w:hAnsi="Times New Roman" w:cs="Times New Roman"/>
              </w:rPr>
            </w:pPr>
            <w:r w:rsidRPr="0043048E">
              <w:rPr>
                <w:rFonts w:ascii="Times New Roman" w:hAnsi="Times New Roman" w:cs="Times New Roman"/>
              </w:rPr>
              <w:t>Cumulative build limit based on annual FT availability</w:t>
            </w:r>
          </w:p>
        </w:tc>
        <w:tc>
          <w:tcPr>
            <w:tcW w:w="3955" w:type="dxa"/>
          </w:tcPr>
          <w:p w14:paraId="6EF617E3" w14:textId="77777777" w:rsidR="0043048E" w:rsidRPr="0043048E" w:rsidRDefault="0043048E" w:rsidP="00B51C88">
            <w:pPr>
              <w:numPr>
                <w:ilvl w:val="0"/>
                <w:numId w:val="11"/>
              </w:numPr>
              <w:rPr>
                <w:rFonts w:ascii="Times New Roman" w:hAnsi="Times New Roman" w:cs="Times New Roman"/>
              </w:rPr>
            </w:pPr>
            <w:r w:rsidRPr="0043048E">
              <w:rPr>
                <w:rFonts w:ascii="Times New Roman" w:hAnsi="Times New Roman" w:cs="Times New Roman"/>
              </w:rPr>
              <w:t>Cumulative build limit based on annual FT availability</w:t>
            </w:r>
          </w:p>
        </w:tc>
      </w:tr>
      <w:tr w:rsidR="0043048E" w:rsidRPr="0043048E" w14:paraId="41196AC9" w14:textId="77777777" w:rsidTr="000A3995">
        <w:trPr>
          <w:trHeight w:val="2240"/>
        </w:trPr>
        <w:tc>
          <w:tcPr>
            <w:tcW w:w="1276" w:type="dxa"/>
          </w:tcPr>
          <w:p w14:paraId="6C4DFD24" w14:textId="77777777" w:rsidR="0043048E" w:rsidRPr="0043048E" w:rsidRDefault="0043048E" w:rsidP="00B51C88">
            <w:pPr>
              <w:spacing w:after="160"/>
              <w:rPr>
                <w:rFonts w:ascii="Times New Roman" w:hAnsi="Times New Roman" w:cs="Times New Roman"/>
              </w:rPr>
            </w:pPr>
            <w:r w:rsidRPr="0043048E">
              <w:rPr>
                <w:rFonts w:ascii="Times New Roman" w:hAnsi="Times New Roman" w:cs="Times New Roman"/>
              </w:rPr>
              <w:t>CC w/CCS</w:t>
            </w:r>
          </w:p>
        </w:tc>
        <w:tc>
          <w:tcPr>
            <w:tcW w:w="4119" w:type="dxa"/>
          </w:tcPr>
          <w:p w14:paraId="06F55015" w14:textId="77777777" w:rsidR="0043048E" w:rsidRPr="0043048E" w:rsidRDefault="0043048E" w:rsidP="00B51C88">
            <w:pPr>
              <w:numPr>
                <w:ilvl w:val="0"/>
                <w:numId w:val="11"/>
              </w:numPr>
              <w:rPr>
                <w:rFonts w:ascii="Times New Roman" w:hAnsi="Times New Roman" w:cs="Times New Roman"/>
              </w:rPr>
            </w:pPr>
            <w:r w:rsidRPr="0043048E">
              <w:rPr>
                <w:rFonts w:ascii="Times New Roman" w:hAnsi="Times New Roman" w:cs="Times New Roman"/>
              </w:rPr>
              <w:t>Cumulative build limit based on annual FT availability</w:t>
            </w:r>
          </w:p>
        </w:tc>
        <w:tc>
          <w:tcPr>
            <w:tcW w:w="3955" w:type="dxa"/>
          </w:tcPr>
          <w:p w14:paraId="0C0DEECD" w14:textId="77777777" w:rsidR="0043048E" w:rsidRPr="0043048E" w:rsidRDefault="0043048E" w:rsidP="00B51C88">
            <w:pPr>
              <w:numPr>
                <w:ilvl w:val="0"/>
                <w:numId w:val="11"/>
              </w:numPr>
              <w:rPr>
                <w:rFonts w:ascii="Times New Roman" w:hAnsi="Times New Roman" w:cs="Times New Roman"/>
              </w:rPr>
            </w:pPr>
            <w:r w:rsidRPr="0043048E">
              <w:rPr>
                <w:rFonts w:ascii="Times New Roman" w:hAnsi="Times New Roman" w:cs="Times New Roman"/>
              </w:rPr>
              <w:t>Cumulative limit based on annual FT availability</w:t>
            </w:r>
          </w:p>
          <w:p w14:paraId="0D8EF8A8" w14:textId="77777777" w:rsidR="0043048E" w:rsidRPr="0043048E" w:rsidRDefault="0043048E" w:rsidP="00B51C88">
            <w:pPr>
              <w:numPr>
                <w:ilvl w:val="0"/>
                <w:numId w:val="11"/>
              </w:numPr>
              <w:rPr>
                <w:rFonts w:ascii="Times New Roman" w:hAnsi="Times New Roman" w:cs="Times New Roman"/>
              </w:rPr>
            </w:pPr>
            <w:r w:rsidRPr="0043048E">
              <w:rPr>
                <w:rFonts w:ascii="Times New Roman" w:hAnsi="Times New Roman" w:cs="Times New Roman"/>
              </w:rPr>
              <w:t>Distinguishes between Local and Distant CCS</w:t>
            </w:r>
          </w:p>
          <w:p w14:paraId="5078B089" w14:textId="76B7FC63" w:rsidR="0043048E" w:rsidRPr="0043048E" w:rsidRDefault="0043048E" w:rsidP="00B51C88">
            <w:pPr>
              <w:numPr>
                <w:ilvl w:val="0"/>
                <w:numId w:val="11"/>
              </w:numPr>
              <w:rPr>
                <w:rFonts w:ascii="Times New Roman" w:hAnsi="Times New Roman" w:cs="Times New Roman"/>
              </w:rPr>
            </w:pPr>
            <w:r w:rsidRPr="0043048E">
              <w:rPr>
                <w:rFonts w:ascii="Times New Roman" w:hAnsi="Times New Roman" w:cs="Times New Roman"/>
              </w:rPr>
              <w:t xml:space="preserve">Local CCS limited to </w:t>
            </w:r>
            <w:r w:rsidR="00B24A2F" w:rsidRPr="00B24A2F">
              <w:rPr>
                <w:rFonts w:ascii="Times New Roman" w:hAnsi="Times New Roman" w:cs="Times New Roman"/>
                <w:b/>
                <w:bCs/>
                <w:sz w:val="16"/>
                <w:szCs w:val="16"/>
              </w:rPr>
              <w:t>REDACTED</w:t>
            </w:r>
            <w:r w:rsidRPr="00B24A2F">
              <w:rPr>
                <w:rFonts w:ascii="Times New Roman" w:hAnsi="Times New Roman" w:cs="Times New Roman"/>
                <w:sz w:val="16"/>
                <w:szCs w:val="16"/>
              </w:rPr>
              <w:t xml:space="preserve"> </w:t>
            </w:r>
            <w:r w:rsidRPr="00BD6402">
              <w:rPr>
                <w:rFonts w:ascii="Times New Roman" w:hAnsi="Times New Roman" w:cs="Times New Roman"/>
              </w:rPr>
              <w:t>total (</w:t>
            </w:r>
            <w:r w:rsidR="00B24A2F" w:rsidRPr="00B24A2F">
              <w:rPr>
                <w:rFonts w:ascii="Times New Roman" w:hAnsi="Times New Roman" w:cs="Times New Roman"/>
                <w:b/>
                <w:bCs/>
              </w:rPr>
              <w:t>REDACTED</w:t>
            </w:r>
            <w:r w:rsidRPr="00BD6402">
              <w:rPr>
                <w:rFonts w:ascii="Times New Roman" w:hAnsi="Times New Roman" w:cs="Times New Roman"/>
              </w:rPr>
              <w:t xml:space="preserve"> limit for GPC)</w:t>
            </w:r>
          </w:p>
        </w:tc>
      </w:tr>
      <w:tr w:rsidR="0043048E" w:rsidRPr="0043048E" w14:paraId="4A705F0A" w14:textId="77777777" w:rsidTr="000A3995">
        <w:trPr>
          <w:trHeight w:val="432"/>
        </w:trPr>
        <w:tc>
          <w:tcPr>
            <w:tcW w:w="1276" w:type="dxa"/>
          </w:tcPr>
          <w:p w14:paraId="072273E5" w14:textId="77777777" w:rsidR="0043048E" w:rsidRPr="0043048E" w:rsidRDefault="0043048E" w:rsidP="00B51C88">
            <w:pPr>
              <w:spacing w:after="160"/>
              <w:rPr>
                <w:rFonts w:ascii="Times New Roman" w:hAnsi="Times New Roman" w:cs="Times New Roman"/>
              </w:rPr>
            </w:pPr>
            <w:r w:rsidRPr="0043048E">
              <w:rPr>
                <w:rFonts w:ascii="Times New Roman" w:hAnsi="Times New Roman" w:cs="Times New Roman"/>
              </w:rPr>
              <w:t>Solar</w:t>
            </w:r>
          </w:p>
        </w:tc>
        <w:tc>
          <w:tcPr>
            <w:tcW w:w="4119" w:type="dxa"/>
          </w:tcPr>
          <w:p w14:paraId="4FC4C79F"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Annual Max – 1,500 MW/yr</w:t>
            </w:r>
          </w:p>
        </w:tc>
        <w:tc>
          <w:tcPr>
            <w:tcW w:w="3955" w:type="dxa"/>
          </w:tcPr>
          <w:p w14:paraId="4B2AF7C7"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Annual Max – 1,500 MW/yr</w:t>
            </w:r>
          </w:p>
        </w:tc>
      </w:tr>
      <w:tr w:rsidR="0043048E" w:rsidRPr="0043048E" w14:paraId="0481AA0A" w14:textId="77777777" w:rsidTr="000A3995">
        <w:trPr>
          <w:trHeight w:val="432"/>
        </w:trPr>
        <w:tc>
          <w:tcPr>
            <w:tcW w:w="1276" w:type="dxa"/>
          </w:tcPr>
          <w:p w14:paraId="53FAE2FD" w14:textId="77777777" w:rsidR="0043048E" w:rsidRPr="0043048E" w:rsidRDefault="0043048E" w:rsidP="00B51C88">
            <w:pPr>
              <w:spacing w:after="160"/>
              <w:rPr>
                <w:rFonts w:ascii="Times New Roman" w:hAnsi="Times New Roman" w:cs="Times New Roman"/>
              </w:rPr>
            </w:pPr>
            <w:r w:rsidRPr="0043048E">
              <w:rPr>
                <w:rFonts w:ascii="Times New Roman" w:hAnsi="Times New Roman" w:cs="Times New Roman"/>
              </w:rPr>
              <w:t>Wind</w:t>
            </w:r>
          </w:p>
        </w:tc>
        <w:tc>
          <w:tcPr>
            <w:tcW w:w="4119" w:type="dxa"/>
          </w:tcPr>
          <w:p w14:paraId="5AE2F460"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Annual Max – 600 MW/yr</w:t>
            </w:r>
          </w:p>
          <w:p w14:paraId="4FC5F95D"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Cumulative Max – 8,100 MW</w:t>
            </w:r>
          </w:p>
        </w:tc>
        <w:tc>
          <w:tcPr>
            <w:tcW w:w="3955" w:type="dxa"/>
          </w:tcPr>
          <w:p w14:paraId="78FC539A"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Annual Max – 300 MW/yr</w:t>
            </w:r>
          </w:p>
          <w:p w14:paraId="03202D97"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Cumulative Max – 4,500 MW</w:t>
            </w:r>
          </w:p>
        </w:tc>
      </w:tr>
      <w:tr w:rsidR="0043048E" w:rsidRPr="0043048E" w14:paraId="42542C71" w14:textId="77777777" w:rsidTr="000A3995">
        <w:trPr>
          <w:trHeight w:val="432"/>
        </w:trPr>
        <w:tc>
          <w:tcPr>
            <w:tcW w:w="1276" w:type="dxa"/>
          </w:tcPr>
          <w:p w14:paraId="7D64ED3D" w14:textId="77777777" w:rsidR="0043048E" w:rsidRPr="0043048E" w:rsidRDefault="0043048E" w:rsidP="00B51C88">
            <w:pPr>
              <w:spacing w:after="160"/>
              <w:rPr>
                <w:rFonts w:ascii="Times New Roman" w:hAnsi="Times New Roman" w:cs="Times New Roman"/>
              </w:rPr>
            </w:pPr>
            <w:r w:rsidRPr="0043048E">
              <w:rPr>
                <w:rFonts w:ascii="Times New Roman" w:hAnsi="Times New Roman" w:cs="Times New Roman"/>
              </w:rPr>
              <w:t>BESS</w:t>
            </w:r>
          </w:p>
        </w:tc>
        <w:tc>
          <w:tcPr>
            <w:tcW w:w="4119" w:type="dxa"/>
          </w:tcPr>
          <w:p w14:paraId="23EE496B"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Annual Max – 3,000 MW/yr</w:t>
            </w:r>
          </w:p>
          <w:p w14:paraId="078359C7"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Cumulative Max – 18,000 MW</w:t>
            </w:r>
          </w:p>
        </w:tc>
        <w:tc>
          <w:tcPr>
            <w:tcW w:w="3955" w:type="dxa"/>
          </w:tcPr>
          <w:p w14:paraId="5517DAD8"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Annual Max – 3,000 MW/yr</w:t>
            </w:r>
          </w:p>
          <w:p w14:paraId="0F33691D"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Cumulative Max – 18,000 MW</w:t>
            </w:r>
          </w:p>
        </w:tc>
      </w:tr>
      <w:tr w:rsidR="0043048E" w:rsidRPr="0043048E" w14:paraId="7C5535B6" w14:textId="77777777" w:rsidTr="000A3995">
        <w:trPr>
          <w:trHeight w:val="432"/>
        </w:trPr>
        <w:tc>
          <w:tcPr>
            <w:tcW w:w="1276" w:type="dxa"/>
          </w:tcPr>
          <w:p w14:paraId="3239B9A7" w14:textId="77777777" w:rsidR="0043048E" w:rsidRPr="0043048E" w:rsidRDefault="0043048E" w:rsidP="00B51C88">
            <w:pPr>
              <w:spacing w:after="160"/>
              <w:rPr>
                <w:rFonts w:ascii="Times New Roman" w:hAnsi="Times New Roman" w:cs="Times New Roman"/>
              </w:rPr>
            </w:pPr>
            <w:r w:rsidRPr="0043048E">
              <w:rPr>
                <w:rFonts w:ascii="Times New Roman" w:hAnsi="Times New Roman" w:cs="Times New Roman"/>
              </w:rPr>
              <w:t>MDESS</w:t>
            </w:r>
          </w:p>
        </w:tc>
        <w:tc>
          <w:tcPr>
            <w:tcW w:w="4119" w:type="dxa"/>
          </w:tcPr>
          <w:p w14:paraId="6B9403E6" w14:textId="5020FE0D"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No limit</w:t>
            </w:r>
          </w:p>
        </w:tc>
        <w:tc>
          <w:tcPr>
            <w:tcW w:w="3955" w:type="dxa"/>
          </w:tcPr>
          <w:p w14:paraId="28666C4B"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No Limit</w:t>
            </w:r>
          </w:p>
        </w:tc>
      </w:tr>
      <w:tr w:rsidR="0043048E" w:rsidRPr="0043048E" w14:paraId="2A70E8AB" w14:textId="77777777" w:rsidTr="000A3995">
        <w:trPr>
          <w:trHeight w:val="432"/>
        </w:trPr>
        <w:tc>
          <w:tcPr>
            <w:tcW w:w="1276" w:type="dxa"/>
          </w:tcPr>
          <w:p w14:paraId="6BFA775C" w14:textId="77777777" w:rsidR="0043048E" w:rsidRPr="0043048E" w:rsidRDefault="0043048E" w:rsidP="00B51C88">
            <w:pPr>
              <w:spacing w:after="160"/>
              <w:rPr>
                <w:rFonts w:ascii="Times New Roman" w:hAnsi="Times New Roman" w:cs="Times New Roman"/>
              </w:rPr>
            </w:pPr>
            <w:r w:rsidRPr="0043048E">
              <w:rPr>
                <w:rFonts w:ascii="Times New Roman" w:hAnsi="Times New Roman" w:cs="Times New Roman"/>
              </w:rPr>
              <w:t>Nuclear</w:t>
            </w:r>
          </w:p>
        </w:tc>
        <w:tc>
          <w:tcPr>
            <w:tcW w:w="4119" w:type="dxa"/>
          </w:tcPr>
          <w:p w14:paraId="02C1E229"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Annual Max – 300 MW/yr</w:t>
            </w:r>
          </w:p>
        </w:tc>
        <w:tc>
          <w:tcPr>
            <w:tcW w:w="3955" w:type="dxa"/>
          </w:tcPr>
          <w:p w14:paraId="630DFB5C" w14:textId="77777777" w:rsidR="0043048E" w:rsidRPr="0043048E" w:rsidRDefault="0043048E" w:rsidP="00B51C88">
            <w:pPr>
              <w:numPr>
                <w:ilvl w:val="0"/>
                <w:numId w:val="12"/>
              </w:numPr>
              <w:rPr>
                <w:rFonts w:ascii="Times New Roman" w:hAnsi="Times New Roman" w:cs="Times New Roman"/>
              </w:rPr>
            </w:pPr>
            <w:r w:rsidRPr="0043048E">
              <w:rPr>
                <w:rFonts w:ascii="Times New Roman" w:hAnsi="Times New Roman" w:cs="Times New Roman"/>
              </w:rPr>
              <w:t>Annual Max – 600 MW/yr</w:t>
            </w:r>
          </w:p>
        </w:tc>
      </w:tr>
    </w:tbl>
    <w:p w14:paraId="489AB659" w14:textId="77777777" w:rsidR="0043048E" w:rsidRPr="0043048E" w:rsidRDefault="0043048E" w:rsidP="00B51C88">
      <w:pPr>
        <w:spacing w:after="160" w:line="240" w:lineRule="auto"/>
        <w:rPr>
          <w:rFonts w:ascii="Times New Roman" w:eastAsia="Aptos" w:hAnsi="Times New Roman" w:cs="Times New Roman"/>
          <w:kern w:val="2"/>
          <w:sz w:val="24"/>
          <w:szCs w:val="24"/>
          <w14:ligatures w14:val="standardContextual"/>
        </w:rPr>
      </w:pPr>
    </w:p>
    <w:p w14:paraId="72524015" w14:textId="77777777" w:rsidR="0043048E" w:rsidRPr="0043048E" w:rsidRDefault="0043048E" w:rsidP="00B51C88">
      <w:pPr>
        <w:keepNext/>
        <w:keepLines/>
        <w:spacing w:before="160" w:after="80" w:line="240" w:lineRule="auto"/>
        <w:ind w:firstLine="720"/>
        <w:jc w:val="both"/>
        <w:outlineLvl w:val="2"/>
        <w:rPr>
          <w:rFonts w:ascii="Times New Roman" w:eastAsia="Times New Roman" w:hAnsi="Times New Roman" w:cs="Times New Roman"/>
          <w:b/>
          <w:bCs/>
          <w:kern w:val="2"/>
          <w:sz w:val="24"/>
          <w:szCs w:val="24"/>
          <w14:ligatures w14:val="standardContextual"/>
        </w:rPr>
      </w:pPr>
      <w:r w:rsidRPr="0043048E">
        <w:rPr>
          <w:rFonts w:ascii="Times New Roman" w:eastAsia="Times New Roman" w:hAnsi="Times New Roman" w:cs="Times New Roman"/>
          <w:b/>
          <w:bCs/>
          <w:kern w:val="2"/>
          <w:sz w:val="24"/>
          <w:szCs w:val="24"/>
          <w14:ligatures w14:val="standardContextual"/>
        </w:rPr>
        <w:t>Annual Limit on CT and CC Builds</w:t>
      </w:r>
    </w:p>
    <w:p w14:paraId="587157F8" w14:textId="190D4C47" w:rsidR="0043048E" w:rsidRPr="0043048E" w:rsidRDefault="0043048E" w:rsidP="00B51C88">
      <w:pPr>
        <w:spacing w:after="160" w:line="240" w:lineRule="auto"/>
        <w:ind w:left="720" w:firstLine="720"/>
        <w:jc w:val="both"/>
        <w:rPr>
          <w:rFonts w:ascii="Times New Roman" w:eastAsia="Aptos" w:hAnsi="Times New Roman" w:cs="Times New Roman"/>
          <w:kern w:val="2"/>
          <w:sz w:val="24"/>
          <w:szCs w:val="24"/>
          <w14:ligatures w14:val="standardContextual"/>
        </w:rPr>
      </w:pPr>
      <w:r w:rsidRPr="0043048E">
        <w:rPr>
          <w:rFonts w:ascii="Times New Roman" w:eastAsia="Aptos" w:hAnsi="Times New Roman" w:cs="Times New Roman"/>
          <w:kern w:val="2"/>
          <w:sz w:val="24"/>
          <w:szCs w:val="24"/>
          <w14:ligatures w14:val="standardContextual"/>
        </w:rPr>
        <w:t xml:space="preserve">The Company used an annual maximum build limit in </w:t>
      </w:r>
      <w:r w:rsidR="005B30DD">
        <w:rPr>
          <w:rFonts w:ascii="Times New Roman" w:eastAsia="Aptos" w:hAnsi="Times New Roman" w:cs="Times New Roman"/>
          <w:kern w:val="2"/>
          <w:sz w:val="24"/>
          <w:szCs w:val="24"/>
          <w14:ligatures w14:val="standardContextual"/>
        </w:rPr>
        <w:t>the 2023 IRP Update</w:t>
      </w:r>
      <w:r w:rsidRPr="0043048E">
        <w:rPr>
          <w:rFonts w:ascii="Times New Roman" w:eastAsia="Aptos" w:hAnsi="Times New Roman" w:cs="Times New Roman"/>
          <w:kern w:val="2"/>
          <w:sz w:val="24"/>
          <w:szCs w:val="24"/>
          <w14:ligatures w14:val="standardContextual"/>
        </w:rPr>
        <w:t xml:space="preserve"> for CTs and CCs that was calculated based on the system’s annual incremental capacity need.  The purpose of this limit was to reduce the number of new resource options Aurora evaluates and improve runtime.  Because the limit was set at or above the system’s annual incremental capacity need, it did not actually limit the number of CTs or CCs that were selected by the model.  For </w:t>
      </w:r>
      <w:r w:rsidR="00F90E97">
        <w:rPr>
          <w:rFonts w:ascii="Times New Roman" w:eastAsia="Aptos" w:hAnsi="Times New Roman" w:cs="Times New Roman"/>
          <w:kern w:val="2"/>
          <w:sz w:val="24"/>
          <w:szCs w:val="24"/>
          <w14:ligatures w14:val="standardContextual"/>
        </w:rPr>
        <w:t xml:space="preserve">the </w:t>
      </w:r>
      <w:r w:rsidR="005B30DD">
        <w:rPr>
          <w:rFonts w:ascii="Times New Roman" w:eastAsia="Aptos" w:hAnsi="Times New Roman" w:cs="Times New Roman"/>
          <w:kern w:val="2"/>
          <w:sz w:val="24"/>
          <w:szCs w:val="24"/>
          <w14:ligatures w14:val="standardContextual"/>
        </w:rPr>
        <w:t>2025 IRP</w:t>
      </w:r>
      <w:r w:rsidRPr="0043048E">
        <w:rPr>
          <w:rFonts w:ascii="Times New Roman" w:eastAsia="Aptos" w:hAnsi="Times New Roman" w:cs="Times New Roman"/>
          <w:kern w:val="2"/>
          <w:sz w:val="24"/>
          <w:szCs w:val="24"/>
          <w14:ligatures w14:val="standardContextual"/>
        </w:rPr>
        <w:t xml:space="preserve">, the Company determined that having a static value that is large enough to allow Aurora to meet an entire year’s capacity need with a single new resource type (if optimal), but not calculated based on annual need, simplifies the calculations required for each scenario and does not significantly increase run time. </w:t>
      </w:r>
    </w:p>
    <w:p w14:paraId="0F48A621" w14:textId="77777777" w:rsidR="0043048E" w:rsidRPr="0043048E" w:rsidRDefault="0043048E" w:rsidP="00B51C88">
      <w:pPr>
        <w:spacing w:after="160" w:line="240" w:lineRule="auto"/>
        <w:ind w:left="720" w:firstLine="720"/>
        <w:jc w:val="both"/>
        <w:rPr>
          <w:rFonts w:ascii="Times New Roman" w:eastAsia="Aptos" w:hAnsi="Times New Roman" w:cs="Times New Roman"/>
          <w:kern w:val="2"/>
          <w:sz w:val="24"/>
          <w:szCs w:val="24"/>
          <w14:ligatures w14:val="standardContextual"/>
        </w:rPr>
      </w:pPr>
      <w:r w:rsidRPr="0043048E">
        <w:rPr>
          <w:rFonts w:ascii="Times New Roman" w:eastAsia="Aptos" w:hAnsi="Times New Roman" w:cs="Times New Roman"/>
          <w:kern w:val="2"/>
          <w:sz w:val="24"/>
          <w:szCs w:val="24"/>
          <w14:ligatures w14:val="standardContextual"/>
        </w:rPr>
        <w:t>For CTs and CC w/CCS, this limit is set to 30 blocks per year, which is equivalent to 9,000 MW (300 MW/block).  For CCs, the build is limited to 3 blocks in 2029, the first year CC is allowed, and 15 blocks in 2030 to represent the estimated amount that could be constructed in that timeframe.  For 2031 and beyond, the CC build limit is set to 30 blocks per year.</w:t>
      </w:r>
    </w:p>
    <w:p w14:paraId="7119FC14" w14:textId="77777777" w:rsidR="0043048E" w:rsidRPr="0043048E" w:rsidRDefault="0043048E" w:rsidP="00B51C88">
      <w:pPr>
        <w:keepNext/>
        <w:keepLines/>
        <w:spacing w:before="160" w:after="80" w:line="240" w:lineRule="auto"/>
        <w:ind w:firstLine="720"/>
        <w:jc w:val="both"/>
        <w:outlineLvl w:val="2"/>
        <w:rPr>
          <w:rFonts w:ascii="Times New Roman" w:eastAsia="Times New Roman" w:hAnsi="Times New Roman" w:cs="Times New Roman"/>
          <w:b/>
          <w:bCs/>
          <w:kern w:val="2"/>
          <w:sz w:val="24"/>
          <w:szCs w:val="24"/>
          <w14:ligatures w14:val="standardContextual"/>
        </w:rPr>
      </w:pPr>
      <w:r w:rsidRPr="0043048E">
        <w:rPr>
          <w:rFonts w:ascii="Times New Roman" w:eastAsia="Times New Roman" w:hAnsi="Times New Roman" w:cs="Times New Roman"/>
          <w:b/>
          <w:bCs/>
          <w:kern w:val="2"/>
          <w:sz w:val="24"/>
          <w:szCs w:val="24"/>
          <w14:ligatures w14:val="standardContextual"/>
        </w:rPr>
        <w:lastRenderedPageBreak/>
        <w:t>FT Availability Limit on CC Builds</w:t>
      </w:r>
    </w:p>
    <w:p w14:paraId="22601D2D" w14:textId="5E498966" w:rsidR="0043048E" w:rsidRPr="0043048E" w:rsidRDefault="0043048E" w:rsidP="00B51C88">
      <w:pPr>
        <w:spacing w:after="160" w:line="240" w:lineRule="auto"/>
        <w:ind w:left="720" w:firstLine="720"/>
        <w:jc w:val="both"/>
        <w:rPr>
          <w:rFonts w:ascii="Times New Roman" w:eastAsia="Aptos" w:hAnsi="Times New Roman" w:cs="Times New Roman"/>
          <w:kern w:val="2"/>
          <w:sz w:val="24"/>
          <w:szCs w:val="24"/>
          <w14:ligatures w14:val="standardContextual"/>
        </w:rPr>
      </w:pPr>
      <w:r w:rsidRPr="0043048E">
        <w:rPr>
          <w:rFonts w:ascii="Times New Roman" w:eastAsia="Aptos" w:hAnsi="Times New Roman" w:cs="Times New Roman"/>
          <w:kern w:val="2"/>
          <w:sz w:val="24"/>
          <w:szCs w:val="24"/>
          <w14:ligatures w14:val="standardContextual"/>
        </w:rPr>
        <w:t xml:space="preserve">In both </w:t>
      </w:r>
      <w:r w:rsidR="005B30DD">
        <w:rPr>
          <w:rFonts w:ascii="Times New Roman" w:eastAsia="Aptos" w:hAnsi="Times New Roman" w:cs="Times New Roman"/>
          <w:kern w:val="2"/>
          <w:sz w:val="24"/>
          <w:szCs w:val="24"/>
          <w14:ligatures w14:val="standardContextual"/>
        </w:rPr>
        <w:t>the 2023 IRP Update</w:t>
      </w:r>
      <w:r w:rsidRPr="0043048E">
        <w:rPr>
          <w:rFonts w:ascii="Times New Roman" w:eastAsia="Aptos" w:hAnsi="Times New Roman" w:cs="Times New Roman"/>
          <w:kern w:val="2"/>
          <w:sz w:val="24"/>
          <w:szCs w:val="24"/>
          <w14:ligatures w14:val="standardContextual"/>
        </w:rPr>
        <w:t xml:space="preserve"> and </w:t>
      </w:r>
      <w:r w:rsidR="00B2667F">
        <w:rPr>
          <w:rFonts w:ascii="Times New Roman" w:eastAsia="Aptos" w:hAnsi="Times New Roman" w:cs="Times New Roman"/>
          <w:kern w:val="2"/>
          <w:sz w:val="24"/>
          <w:szCs w:val="24"/>
          <w14:ligatures w14:val="standardContextual"/>
        </w:rPr>
        <w:t xml:space="preserve">the </w:t>
      </w:r>
      <w:r w:rsidR="005B30DD">
        <w:rPr>
          <w:rFonts w:ascii="Times New Roman" w:eastAsia="Aptos" w:hAnsi="Times New Roman" w:cs="Times New Roman"/>
          <w:kern w:val="2"/>
          <w:sz w:val="24"/>
          <w:szCs w:val="24"/>
          <w14:ligatures w14:val="standardContextual"/>
        </w:rPr>
        <w:t>2025 IRP</w:t>
      </w:r>
      <w:r w:rsidRPr="0043048E">
        <w:rPr>
          <w:rFonts w:ascii="Times New Roman" w:eastAsia="Aptos" w:hAnsi="Times New Roman" w:cs="Times New Roman"/>
          <w:kern w:val="2"/>
          <w:sz w:val="24"/>
          <w:szCs w:val="24"/>
          <w14:ligatures w14:val="standardContextual"/>
        </w:rPr>
        <w:t xml:space="preserve">, the Company assumed FT used for existing units would become available to new CCs as the existing units either retired or power purchase agreement (“PPA”) expired.   In addition, for planning purposes, the Company assumed some additional pipeline expansion and associated FT would become available during the planning horizon. </w:t>
      </w:r>
      <w:r w:rsidR="006C4F03">
        <w:rPr>
          <w:rFonts w:ascii="Times New Roman" w:eastAsia="Aptos" w:hAnsi="Times New Roman" w:cs="Times New Roman"/>
          <w:kern w:val="2"/>
          <w:sz w:val="24"/>
          <w:szCs w:val="24"/>
          <w14:ligatures w14:val="standardContextual"/>
        </w:rPr>
        <w:t>STF-JKA-1-11</w:t>
      </w:r>
      <w:r w:rsidRPr="0043048E">
        <w:rPr>
          <w:rFonts w:ascii="Times New Roman" w:eastAsia="Aptos" w:hAnsi="Times New Roman" w:cs="Times New Roman"/>
          <w:kern w:val="2"/>
          <w:sz w:val="24"/>
          <w:szCs w:val="24"/>
          <w14:ligatures w14:val="standardContextual"/>
        </w:rPr>
        <w:t xml:space="preserve"> </w:t>
      </w:r>
      <w:r w:rsidR="006C4F03">
        <w:rPr>
          <w:rFonts w:ascii="Times New Roman" w:eastAsia="Aptos" w:hAnsi="Times New Roman" w:cs="Times New Roman"/>
          <w:kern w:val="2"/>
          <w:sz w:val="24"/>
          <w:szCs w:val="24"/>
          <w14:ligatures w14:val="standardContextual"/>
        </w:rPr>
        <w:t xml:space="preserve">Attachment </w:t>
      </w:r>
      <w:r w:rsidR="007E6499">
        <w:rPr>
          <w:rFonts w:ascii="Times New Roman" w:eastAsia="Aptos" w:hAnsi="Times New Roman" w:cs="Times New Roman"/>
          <w:kern w:val="2"/>
          <w:sz w:val="24"/>
          <w:szCs w:val="24"/>
          <w14:ligatures w14:val="standardContextual"/>
        </w:rPr>
        <w:t>B</w:t>
      </w:r>
      <w:r w:rsidR="006C4F03">
        <w:rPr>
          <w:rFonts w:ascii="Times New Roman" w:eastAsia="Aptos" w:hAnsi="Times New Roman" w:cs="Times New Roman"/>
          <w:kern w:val="2"/>
          <w:sz w:val="24"/>
          <w:szCs w:val="24"/>
          <w14:ligatures w14:val="standardContextual"/>
        </w:rPr>
        <w:t xml:space="preserve"> </w:t>
      </w:r>
      <w:r w:rsidR="001D22DD">
        <w:rPr>
          <w:rFonts w:ascii="Times New Roman" w:eastAsia="Aptos" w:hAnsi="Times New Roman" w:cs="Times New Roman"/>
          <w:kern w:val="2"/>
          <w:sz w:val="24"/>
          <w:szCs w:val="24"/>
          <w14:ligatures w14:val="standardContextual"/>
        </w:rPr>
        <w:t>TRADE SECRET</w:t>
      </w:r>
      <w:r w:rsidR="006C4F03">
        <w:rPr>
          <w:rFonts w:ascii="Times New Roman" w:eastAsia="Aptos" w:hAnsi="Times New Roman" w:cs="Times New Roman"/>
          <w:kern w:val="2"/>
          <w:sz w:val="24"/>
          <w:szCs w:val="24"/>
          <w14:ligatures w14:val="standardContextual"/>
        </w:rPr>
        <w:t xml:space="preserve"> </w:t>
      </w:r>
      <w:r w:rsidRPr="0043048E">
        <w:rPr>
          <w:rFonts w:ascii="Times New Roman" w:eastAsia="Aptos" w:hAnsi="Times New Roman" w:cs="Times New Roman"/>
          <w:kern w:val="2"/>
          <w:sz w:val="24"/>
          <w:szCs w:val="24"/>
          <w14:ligatures w14:val="standardContextual"/>
        </w:rPr>
        <w:t xml:space="preserve">shows the resulting cumulative MW build limits that were included in the capacity expansion modeling for </w:t>
      </w:r>
      <w:r w:rsidR="005B30DD">
        <w:rPr>
          <w:rFonts w:ascii="Times New Roman" w:eastAsia="Aptos" w:hAnsi="Times New Roman" w:cs="Times New Roman"/>
          <w:kern w:val="2"/>
          <w:sz w:val="24"/>
          <w:szCs w:val="24"/>
          <w14:ligatures w14:val="standardContextual"/>
        </w:rPr>
        <w:t>the 2023 IRP Update</w:t>
      </w:r>
      <w:r w:rsidRPr="0043048E">
        <w:rPr>
          <w:rFonts w:ascii="Times New Roman" w:eastAsia="Aptos" w:hAnsi="Times New Roman" w:cs="Times New Roman"/>
          <w:kern w:val="2"/>
          <w:sz w:val="24"/>
          <w:szCs w:val="24"/>
          <w14:ligatures w14:val="standardContextual"/>
        </w:rPr>
        <w:t xml:space="preserve"> and </w:t>
      </w:r>
      <w:r w:rsidR="00B2667F">
        <w:rPr>
          <w:rFonts w:ascii="Times New Roman" w:eastAsia="Aptos" w:hAnsi="Times New Roman" w:cs="Times New Roman"/>
          <w:kern w:val="2"/>
          <w:sz w:val="24"/>
          <w:szCs w:val="24"/>
          <w14:ligatures w14:val="standardContextual"/>
        </w:rPr>
        <w:t xml:space="preserve">the </w:t>
      </w:r>
      <w:r w:rsidR="005B30DD">
        <w:rPr>
          <w:rFonts w:ascii="Times New Roman" w:eastAsia="Aptos" w:hAnsi="Times New Roman" w:cs="Times New Roman"/>
          <w:kern w:val="2"/>
          <w:sz w:val="24"/>
          <w:szCs w:val="24"/>
          <w14:ligatures w14:val="standardContextual"/>
        </w:rPr>
        <w:t>2025 IRP</w:t>
      </w:r>
      <w:r w:rsidRPr="0043048E">
        <w:rPr>
          <w:rFonts w:ascii="Times New Roman" w:eastAsia="Aptos" w:hAnsi="Times New Roman" w:cs="Times New Roman"/>
          <w:kern w:val="2"/>
          <w:sz w:val="24"/>
          <w:szCs w:val="24"/>
          <w14:ligatures w14:val="standardContextual"/>
        </w:rPr>
        <w:t xml:space="preserve">. </w:t>
      </w:r>
    </w:p>
    <w:p w14:paraId="5C4C1C9D" w14:textId="77777777" w:rsidR="0043048E" w:rsidRPr="0043048E" w:rsidRDefault="0043048E" w:rsidP="00B51C88">
      <w:pPr>
        <w:keepNext/>
        <w:keepLines/>
        <w:spacing w:before="160" w:after="80" w:line="240" w:lineRule="auto"/>
        <w:ind w:firstLine="720"/>
        <w:jc w:val="both"/>
        <w:outlineLvl w:val="2"/>
        <w:rPr>
          <w:rFonts w:ascii="Times New Roman" w:eastAsia="Times New Roman" w:hAnsi="Times New Roman" w:cs="Times New Roman"/>
          <w:b/>
          <w:bCs/>
          <w:kern w:val="2"/>
          <w:sz w:val="24"/>
          <w:szCs w:val="24"/>
          <w14:ligatures w14:val="standardContextual"/>
        </w:rPr>
      </w:pPr>
      <w:r w:rsidRPr="0043048E">
        <w:rPr>
          <w:rFonts w:ascii="Times New Roman" w:eastAsia="Times New Roman" w:hAnsi="Times New Roman" w:cs="Times New Roman"/>
          <w:b/>
          <w:bCs/>
          <w:kern w:val="2"/>
          <w:sz w:val="24"/>
          <w:szCs w:val="24"/>
          <w14:ligatures w14:val="standardContextual"/>
        </w:rPr>
        <w:t>Assumptions on Gas Availability for CTs</w:t>
      </w:r>
    </w:p>
    <w:p w14:paraId="6EF2A7FF" w14:textId="1362D1E2" w:rsidR="0043048E" w:rsidRPr="0043048E" w:rsidRDefault="0043048E" w:rsidP="00B51C88">
      <w:pPr>
        <w:spacing w:after="160" w:line="240" w:lineRule="auto"/>
        <w:ind w:left="720" w:firstLine="720"/>
        <w:jc w:val="both"/>
        <w:rPr>
          <w:rFonts w:ascii="Times New Roman" w:eastAsia="Aptos" w:hAnsi="Times New Roman" w:cs="Times New Roman"/>
          <w:kern w:val="2"/>
          <w:sz w:val="24"/>
          <w:szCs w:val="24"/>
          <w14:ligatures w14:val="standardContextual"/>
        </w:rPr>
      </w:pPr>
      <w:r w:rsidRPr="0043048E">
        <w:rPr>
          <w:rFonts w:ascii="Times New Roman" w:eastAsia="Aptos" w:hAnsi="Times New Roman" w:cs="Times New Roman"/>
          <w:kern w:val="2"/>
          <w:sz w:val="24"/>
          <w:szCs w:val="24"/>
          <w14:ligatures w14:val="standardContextual"/>
        </w:rPr>
        <w:t xml:space="preserve">Given the current operational realities and the challenges facing the pipeline infrastructure industry, the Company assumes the most reliable operational plan for new generic expansion CTs is for them to be dual-fueled, capable of combusting either fuel oil or natural gas.  For </w:t>
      </w:r>
      <w:r w:rsidR="005B30DD">
        <w:rPr>
          <w:rFonts w:ascii="Times New Roman" w:eastAsia="Aptos" w:hAnsi="Times New Roman" w:cs="Times New Roman"/>
          <w:kern w:val="2"/>
          <w:sz w:val="24"/>
          <w:szCs w:val="24"/>
          <w14:ligatures w14:val="standardContextual"/>
        </w:rPr>
        <w:t>the 2023 IRP Update</w:t>
      </w:r>
      <w:r w:rsidRPr="0043048E">
        <w:rPr>
          <w:rFonts w:ascii="Times New Roman" w:eastAsia="Aptos" w:hAnsi="Times New Roman" w:cs="Times New Roman"/>
          <w:kern w:val="2"/>
          <w:sz w:val="24"/>
          <w:szCs w:val="24"/>
          <w14:ligatures w14:val="standardContextual"/>
        </w:rPr>
        <w:t xml:space="preserve">, the Company assumed year-round fuel oil operation for new generic CTs because the pipelines serving the Company region have become increasingly constrained and less flexible in recent years. For </w:t>
      </w:r>
      <w:r w:rsidR="00822D31">
        <w:rPr>
          <w:rFonts w:ascii="Times New Roman" w:eastAsia="Aptos" w:hAnsi="Times New Roman" w:cs="Times New Roman"/>
          <w:kern w:val="2"/>
          <w:sz w:val="24"/>
          <w:szCs w:val="24"/>
          <w14:ligatures w14:val="standardContextual"/>
        </w:rPr>
        <w:t xml:space="preserve">the </w:t>
      </w:r>
      <w:r w:rsidR="005B30DD">
        <w:rPr>
          <w:rFonts w:ascii="Times New Roman" w:eastAsia="Aptos" w:hAnsi="Times New Roman" w:cs="Times New Roman"/>
          <w:kern w:val="2"/>
          <w:sz w:val="24"/>
          <w:szCs w:val="24"/>
          <w14:ligatures w14:val="standardContextual"/>
        </w:rPr>
        <w:t>2025 IRP</w:t>
      </w:r>
      <w:r w:rsidRPr="0043048E">
        <w:rPr>
          <w:rFonts w:ascii="Times New Roman" w:eastAsia="Aptos" w:hAnsi="Times New Roman" w:cs="Times New Roman"/>
          <w:kern w:val="2"/>
          <w:sz w:val="24"/>
          <w:szCs w:val="24"/>
          <w14:ligatures w14:val="standardContextual"/>
        </w:rPr>
        <w:t xml:space="preserve">, this assumption was revised to only require CTs to operate on oil during the winter months (Dec-Jan-Feb) and to operate as needed on gas throughout the remainder of the year.  </w:t>
      </w:r>
    </w:p>
    <w:p w14:paraId="6E23D03A" w14:textId="77777777" w:rsidR="0043048E" w:rsidRPr="0043048E" w:rsidRDefault="0043048E" w:rsidP="00B51C88">
      <w:pPr>
        <w:keepNext/>
        <w:keepLines/>
        <w:spacing w:before="160" w:after="80" w:line="240" w:lineRule="auto"/>
        <w:ind w:firstLine="720"/>
        <w:jc w:val="both"/>
        <w:outlineLvl w:val="2"/>
        <w:rPr>
          <w:rFonts w:ascii="Times New Roman" w:eastAsia="Times New Roman" w:hAnsi="Times New Roman" w:cs="Times New Roman"/>
          <w:b/>
          <w:bCs/>
          <w:kern w:val="2"/>
          <w:sz w:val="24"/>
          <w:szCs w:val="24"/>
          <w14:ligatures w14:val="standardContextual"/>
        </w:rPr>
      </w:pPr>
      <w:r w:rsidRPr="0043048E">
        <w:rPr>
          <w:rFonts w:ascii="Times New Roman" w:eastAsia="Times New Roman" w:hAnsi="Times New Roman" w:cs="Times New Roman"/>
          <w:b/>
          <w:bCs/>
          <w:kern w:val="2"/>
          <w:sz w:val="24"/>
          <w:szCs w:val="24"/>
          <w14:ligatures w14:val="standardContextual"/>
        </w:rPr>
        <w:t>Local Versus Distant CC w/CCS</w:t>
      </w:r>
    </w:p>
    <w:p w14:paraId="10F47142" w14:textId="29B6715B" w:rsidR="00E54327" w:rsidRDefault="0043048E" w:rsidP="00B51C88">
      <w:pPr>
        <w:spacing w:after="160" w:line="240" w:lineRule="auto"/>
        <w:ind w:left="720" w:firstLine="720"/>
        <w:jc w:val="both"/>
        <w:rPr>
          <w:rFonts w:ascii="Times New Roman" w:eastAsia="Aptos" w:hAnsi="Times New Roman" w:cs="Times New Roman"/>
          <w:kern w:val="2"/>
          <w:sz w:val="24"/>
          <w:szCs w:val="24"/>
          <w14:ligatures w14:val="standardContextual"/>
        </w:rPr>
      </w:pPr>
      <w:r w:rsidRPr="0043048E">
        <w:rPr>
          <w:rFonts w:ascii="Times New Roman" w:eastAsia="Aptos" w:hAnsi="Times New Roman" w:cs="Times New Roman"/>
          <w:kern w:val="2"/>
          <w:sz w:val="24"/>
          <w:szCs w:val="24"/>
          <w14:ligatures w14:val="standardContextual"/>
        </w:rPr>
        <w:t>Areas of favorable geology for carbon storage within the Southern Company footprint are limited.  For CCs that are distant from carbon storage regions, application of CCS requires that the captured CO</w:t>
      </w:r>
      <w:r w:rsidRPr="0043048E">
        <w:rPr>
          <w:rFonts w:ascii="Times New Roman" w:eastAsia="Aptos" w:hAnsi="Times New Roman" w:cs="Times New Roman"/>
          <w:kern w:val="2"/>
          <w:sz w:val="24"/>
          <w:szCs w:val="24"/>
          <w:vertAlign w:val="subscript"/>
          <w14:ligatures w14:val="standardContextual"/>
        </w:rPr>
        <w:t>2</w:t>
      </w:r>
      <w:r w:rsidRPr="0043048E">
        <w:rPr>
          <w:rFonts w:ascii="Times New Roman" w:eastAsia="Aptos" w:hAnsi="Times New Roman" w:cs="Times New Roman"/>
          <w:kern w:val="2"/>
          <w:sz w:val="24"/>
          <w:szCs w:val="24"/>
          <w14:ligatures w14:val="standardContextual"/>
        </w:rPr>
        <w:t xml:space="preserve"> be transported by pipeline to a storage site (i.e., Distant CC w/CCS), which results in significant additional cost to construct and operate the unit.   For</w:t>
      </w:r>
      <w:r w:rsidR="00822D31">
        <w:rPr>
          <w:rFonts w:ascii="Times New Roman" w:eastAsia="Aptos" w:hAnsi="Times New Roman" w:cs="Times New Roman"/>
          <w:kern w:val="2"/>
          <w:sz w:val="24"/>
          <w:szCs w:val="24"/>
          <w14:ligatures w14:val="standardContextual"/>
        </w:rPr>
        <w:t xml:space="preserve"> the</w:t>
      </w:r>
      <w:r w:rsidRPr="0043048E">
        <w:rPr>
          <w:rFonts w:ascii="Times New Roman" w:eastAsia="Aptos" w:hAnsi="Times New Roman" w:cs="Times New Roman"/>
          <w:kern w:val="2"/>
          <w:sz w:val="24"/>
          <w:szCs w:val="24"/>
          <w14:ligatures w14:val="standardContextual"/>
        </w:rPr>
        <w:t xml:space="preserve"> </w:t>
      </w:r>
      <w:r w:rsidR="005B30DD">
        <w:rPr>
          <w:rFonts w:ascii="Times New Roman" w:eastAsia="Aptos" w:hAnsi="Times New Roman" w:cs="Times New Roman"/>
          <w:kern w:val="2"/>
          <w:sz w:val="24"/>
          <w:szCs w:val="24"/>
          <w14:ligatures w14:val="standardContextual"/>
        </w:rPr>
        <w:t>2025 IRP</w:t>
      </w:r>
      <w:r w:rsidRPr="0043048E">
        <w:rPr>
          <w:rFonts w:ascii="Times New Roman" w:eastAsia="Aptos" w:hAnsi="Times New Roman" w:cs="Times New Roman"/>
          <w:kern w:val="2"/>
          <w:sz w:val="24"/>
          <w:szCs w:val="24"/>
          <w14:ligatures w14:val="standardContextual"/>
        </w:rPr>
        <w:t xml:space="preserve">, the Company has determined that it is reasonable to assume that only </w:t>
      </w:r>
      <w:r w:rsidR="0059302C" w:rsidRPr="0059302C">
        <w:rPr>
          <w:rFonts w:ascii="Times New Roman" w:eastAsia="Aptos" w:hAnsi="Times New Roman" w:cs="Times New Roman"/>
          <w:b/>
          <w:bCs/>
          <w:kern w:val="2"/>
          <w:sz w:val="24"/>
          <w:szCs w:val="24"/>
          <w14:ligatures w14:val="standardContextual"/>
        </w:rPr>
        <w:t>REDACTED</w:t>
      </w:r>
      <w:r w:rsidRPr="0043048E">
        <w:rPr>
          <w:rFonts w:ascii="Times New Roman" w:eastAsia="Aptos" w:hAnsi="Times New Roman" w:cs="Times New Roman"/>
          <w:kern w:val="2"/>
          <w:sz w:val="24"/>
          <w:szCs w:val="24"/>
          <w14:ligatures w14:val="standardContextual"/>
        </w:rPr>
        <w:t xml:space="preserve"> of CC w/CCS could be constructed near favorable carbon storage sites (i.e., Local CC w/CCS), with significantly less cost for CO</w:t>
      </w:r>
      <w:r w:rsidRPr="0043048E">
        <w:rPr>
          <w:rFonts w:ascii="Times New Roman" w:eastAsia="Aptos" w:hAnsi="Times New Roman" w:cs="Times New Roman"/>
          <w:kern w:val="2"/>
          <w:sz w:val="24"/>
          <w:szCs w:val="24"/>
          <w:vertAlign w:val="subscript"/>
          <w14:ligatures w14:val="standardContextual"/>
        </w:rPr>
        <w:t>2</w:t>
      </w:r>
      <w:r w:rsidRPr="0043048E">
        <w:rPr>
          <w:rFonts w:ascii="Times New Roman" w:eastAsia="Aptos" w:hAnsi="Times New Roman" w:cs="Times New Roman"/>
          <w:kern w:val="2"/>
          <w:sz w:val="24"/>
          <w:szCs w:val="24"/>
          <w14:ligatures w14:val="standardContextual"/>
        </w:rPr>
        <w:t xml:space="preserve"> transport than Distant CC w/CCS.  </w:t>
      </w:r>
      <w:r w:rsidR="00E204DB">
        <w:rPr>
          <w:rFonts w:ascii="Times New Roman" w:eastAsia="Aptos" w:hAnsi="Times New Roman" w:cs="Times New Roman"/>
          <w:kern w:val="2"/>
          <w:sz w:val="24"/>
          <w:szCs w:val="24"/>
          <w14:ligatures w14:val="standardContextual"/>
        </w:rPr>
        <w:t xml:space="preserve">The Company </w:t>
      </w:r>
      <w:r w:rsidR="00E204DB" w:rsidRPr="0060519C">
        <w:rPr>
          <w:rFonts w:ascii="Times New Roman" w:eastAsia="Aptos" w:hAnsi="Times New Roman" w:cs="Times New Roman"/>
          <w:kern w:val="2"/>
          <w:sz w:val="24"/>
          <w:szCs w:val="24"/>
          <w14:ligatures w14:val="standardContextual"/>
        </w:rPr>
        <w:t xml:space="preserve">assumes </w:t>
      </w:r>
      <w:r w:rsidR="0059302C" w:rsidRPr="0059302C">
        <w:rPr>
          <w:rFonts w:ascii="Times New Roman" w:eastAsia="Aptos" w:hAnsi="Times New Roman" w:cs="Times New Roman"/>
          <w:b/>
          <w:bCs/>
          <w:kern w:val="2"/>
          <w:sz w:val="8"/>
          <w:szCs w:val="8"/>
          <w14:ligatures w14:val="standardContextual"/>
        </w:rPr>
        <w:t>REDACTED</w:t>
      </w:r>
      <w:r w:rsidR="00E204DB" w:rsidRPr="0060519C">
        <w:rPr>
          <w:rFonts w:ascii="Times New Roman" w:eastAsia="Aptos" w:hAnsi="Times New Roman" w:cs="Times New Roman"/>
          <w:kern w:val="2"/>
          <w:sz w:val="24"/>
          <w:szCs w:val="24"/>
          <w14:ligatures w14:val="standardContextual"/>
        </w:rPr>
        <w:t xml:space="preserve"> miles of</w:t>
      </w:r>
      <w:r w:rsidR="00E204DB">
        <w:rPr>
          <w:rFonts w:ascii="Times New Roman" w:eastAsia="Aptos" w:hAnsi="Times New Roman" w:cs="Times New Roman"/>
          <w:kern w:val="2"/>
          <w:sz w:val="24"/>
          <w:szCs w:val="24"/>
          <w14:ligatures w14:val="standardContextual"/>
        </w:rPr>
        <w:t xml:space="preserve"> pipeline for Local CC w/ CCS and </w:t>
      </w:r>
      <w:r w:rsidR="0059302C" w:rsidRPr="0059302C">
        <w:rPr>
          <w:rFonts w:ascii="Times New Roman" w:eastAsia="Aptos" w:hAnsi="Times New Roman" w:cs="Times New Roman"/>
          <w:b/>
          <w:bCs/>
          <w:kern w:val="2"/>
          <w:sz w:val="6"/>
          <w:szCs w:val="6"/>
          <w14:ligatures w14:val="standardContextual"/>
        </w:rPr>
        <w:t>REDACTED</w:t>
      </w:r>
      <w:r w:rsidR="00E204DB">
        <w:rPr>
          <w:rFonts w:ascii="Times New Roman" w:eastAsia="Aptos" w:hAnsi="Times New Roman" w:cs="Times New Roman"/>
          <w:kern w:val="2"/>
          <w:sz w:val="24"/>
          <w:szCs w:val="24"/>
          <w14:ligatures w14:val="standardContextual"/>
        </w:rPr>
        <w:t xml:space="preserve"> miles of pipeline for Distant CC w/ CCS</w:t>
      </w:r>
      <w:r w:rsidR="00D14D3E">
        <w:rPr>
          <w:rFonts w:ascii="Times New Roman" w:eastAsia="Aptos" w:hAnsi="Times New Roman" w:cs="Times New Roman"/>
          <w:kern w:val="2"/>
          <w:sz w:val="24"/>
          <w:szCs w:val="24"/>
          <w14:ligatures w14:val="standardContextual"/>
        </w:rPr>
        <w:t>.  In addition, t</w:t>
      </w:r>
      <w:r w:rsidRPr="0043048E">
        <w:rPr>
          <w:rFonts w:ascii="Times New Roman" w:eastAsia="Aptos" w:hAnsi="Times New Roman" w:cs="Times New Roman"/>
          <w:kern w:val="2"/>
          <w:sz w:val="24"/>
          <w:szCs w:val="24"/>
          <w14:ligatures w14:val="standardContextual"/>
        </w:rPr>
        <w:t xml:space="preserve">he Company assumes that only </w:t>
      </w:r>
      <w:r w:rsidR="0059302C" w:rsidRPr="0059302C">
        <w:rPr>
          <w:rFonts w:ascii="Times New Roman" w:eastAsia="Aptos" w:hAnsi="Times New Roman" w:cs="Times New Roman"/>
          <w:b/>
          <w:bCs/>
          <w:kern w:val="2"/>
          <w14:ligatures w14:val="standardContextual"/>
        </w:rPr>
        <w:t>REDACTED</w:t>
      </w:r>
      <w:r w:rsidRPr="0059302C">
        <w:rPr>
          <w:rFonts w:ascii="Times New Roman" w:eastAsia="Aptos" w:hAnsi="Times New Roman" w:cs="Times New Roman"/>
          <w:kern w:val="2"/>
          <w14:ligatures w14:val="standardContextual"/>
        </w:rPr>
        <w:t xml:space="preserve"> </w:t>
      </w:r>
      <w:r w:rsidRPr="0043048E">
        <w:rPr>
          <w:rFonts w:ascii="Times New Roman" w:eastAsia="Aptos" w:hAnsi="Times New Roman" w:cs="Times New Roman"/>
          <w:kern w:val="2"/>
          <w:sz w:val="24"/>
          <w:szCs w:val="24"/>
          <w14:ligatures w14:val="standardContextual"/>
        </w:rPr>
        <w:t xml:space="preserve">of Local CC w/CCS could be constructed in the GPC service territory. Local CC w/CCS builds in the capacity expansion modeling are limited based on operating company need (e.g., if GPC is the only Operating Company with a capacity need, the build cannot exceed GPCs need for that year and cannot exceed </w:t>
      </w:r>
      <w:r w:rsidR="0059302C" w:rsidRPr="0059302C">
        <w:rPr>
          <w:rFonts w:ascii="Times New Roman" w:eastAsia="Aptos" w:hAnsi="Times New Roman" w:cs="Times New Roman"/>
          <w:b/>
          <w:bCs/>
          <w:kern w:val="2"/>
          <w:sz w:val="24"/>
          <w:szCs w:val="24"/>
          <w14:ligatures w14:val="standardContextual"/>
        </w:rPr>
        <w:t>REDACTED</w:t>
      </w:r>
      <w:r w:rsidRPr="0043048E">
        <w:rPr>
          <w:rFonts w:ascii="Times New Roman" w:eastAsia="Aptos" w:hAnsi="Times New Roman" w:cs="Times New Roman"/>
          <w:kern w:val="2"/>
          <w:sz w:val="24"/>
          <w:szCs w:val="24"/>
          <w14:ligatures w14:val="standardContextual"/>
        </w:rPr>
        <w:t xml:space="preserve">) and is limited to a system total of </w:t>
      </w:r>
      <w:r w:rsidR="0059302C" w:rsidRPr="0059302C">
        <w:rPr>
          <w:rFonts w:ascii="Times New Roman" w:eastAsia="Aptos" w:hAnsi="Times New Roman" w:cs="Times New Roman"/>
          <w:b/>
          <w:bCs/>
          <w:kern w:val="2"/>
          <w:sz w:val="24"/>
          <w:szCs w:val="24"/>
          <w14:ligatures w14:val="standardContextual"/>
        </w:rPr>
        <w:t>REDACTED</w:t>
      </w:r>
      <w:r w:rsidRPr="0043048E">
        <w:rPr>
          <w:rFonts w:ascii="Times New Roman" w:eastAsia="Aptos" w:hAnsi="Times New Roman" w:cs="Times New Roman"/>
          <w:kern w:val="2"/>
          <w:sz w:val="24"/>
          <w:szCs w:val="24"/>
          <w14:ligatures w14:val="standardContextual"/>
        </w:rPr>
        <w:t xml:space="preserve">.  This limit was not included in </w:t>
      </w:r>
      <w:r w:rsidR="005B30DD">
        <w:rPr>
          <w:rFonts w:ascii="Times New Roman" w:eastAsia="Aptos" w:hAnsi="Times New Roman" w:cs="Times New Roman"/>
          <w:kern w:val="2"/>
          <w:sz w:val="24"/>
          <w:szCs w:val="24"/>
          <w14:ligatures w14:val="standardContextual"/>
        </w:rPr>
        <w:t>the 2023 IRP Update</w:t>
      </w:r>
      <w:r w:rsidRPr="0043048E">
        <w:rPr>
          <w:rFonts w:ascii="Times New Roman" w:eastAsia="Aptos" w:hAnsi="Times New Roman" w:cs="Times New Roman"/>
          <w:kern w:val="2"/>
          <w:sz w:val="24"/>
          <w:szCs w:val="24"/>
          <w14:ligatures w14:val="standardContextual"/>
        </w:rPr>
        <w:t xml:space="preserve"> modeling.</w:t>
      </w:r>
    </w:p>
    <w:p w14:paraId="5D47EFD0" w14:textId="4DF0EDEA" w:rsidR="00E54327" w:rsidRPr="00F413F7" w:rsidRDefault="00FC56AB" w:rsidP="00B51C88">
      <w:pPr>
        <w:pStyle w:val="ListParagraph"/>
        <w:numPr>
          <w:ilvl w:val="0"/>
          <w:numId w:val="10"/>
        </w:numPr>
        <w:spacing w:line="240" w:lineRule="auto"/>
        <w:contextualSpacing w:val="0"/>
        <w:jc w:val="both"/>
        <w:rPr>
          <w:rFonts w:ascii="Times New Roman" w:eastAsia="Aptos" w:hAnsi="Times New Roman" w:cs="Times New Roman"/>
          <w:kern w:val="2"/>
          <w:sz w:val="24"/>
          <w:szCs w:val="24"/>
          <w14:ligatures w14:val="standardContextual"/>
        </w:rPr>
      </w:pPr>
      <w:r w:rsidRPr="00FC56AB">
        <w:rPr>
          <w:rFonts w:ascii="Times New Roman" w:eastAsia="Aptos" w:hAnsi="Times New Roman" w:cs="Times New Roman"/>
          <w:kern w:val="2"/>
          <w:sz w:val="24"/>
          <w:szCs w:val="24"/>
          <w14:ligatures w14:val="standardContextual"/>
        </w:rPr>
        <w:t>The Company aims to develop a</w:t>
      </w:r>
      <w:r w:rsidR="00D21CF2">
        <w:rPr>
          <w:rFonts w:ascii="Times New Roman" w:eastAsia="Aptos" w:hAnsi="Times New Roman" w:cs="Times New Roman"/>
          <w:kern w:val="2"/>
          <w:sz w:val="24"/>
          <w:szCs w:val="24"/>
          <w14:ligatures w14:val="standardContextual"/>
        </w:rPr>
        <w:t>ny</w:t>
      </w:r>
      <w:r w:rsidRPr="00FC56AB">
        <w:rPr>
          <w:rFonts w:ascii="Times New Roman" w:eastAsia="Aptos" w:hAnsi="Times New Roman" w:cs="Times New Roman"/>
          <w:kern w:val="2"/>
          <w:sz w:val="24"/>
          <w:szCs w:val="24"/>
          <w14:ligatures w14:val="standardContextual"/>
        </w:rPr>
        <w:t xml:space="preserve"> generic resource </w:t>
      </w:r>
      <w:r w:rsidR="00874F6C" w:rsidRPr="007559B0">
        <w:rPr>
          <w:rFonts w:ascii="Times New Roman" w:eastAsia="Aptos" w:hAnsi="Times New Roman" w:cs="Times New Roman"/>
          <w:kern w:val="2"/>
          <w:sz w:val="24"/>
          <w:szCs w:val="24"/>
          <w14:ligatures w14:val="standardContextual"/>
        </w:rPr>
        <w:t xml:space="preserve">limits </w:t>
      </w:r>
      <w:r w:rsidRPr="007559B0">
        <w:rPr>
          <w:rFonts w:ascii="Times New Roman" w:eastAsia="Aptos" w:hAnsi="Times New Roman" w:cs="Times New Roman"/>
          <w:kern w:val="2"/>
          <w:sz w:val="24"/>
          <w:szCs w:val="24"/>
          <w14:ligatures w14:val="standardContextual"/>
        </w:rPr>
        <w:t xml:space="preserve">tailored to technology deployment within its regulated service territory, rather than relying on public sources, which often cover a broader </w:t>
      </w:r>
      <w:r w:rsidR="1CC0B767" w:rsidRPr="007559B0">
        <w:rPr>
          <w:rFonts w:ascii="Times New Roman" w:eastAsia="Aptos" w:hAnsi="Times New Roman" w:cs="Times New Roman"/>
          <w:kern w:val="2"/>
          <w:sz w:val="24"/>
          <w:szCs w:val="24"/>
          <w14:ligatures w14:val="standardContextual"/>
        </w:rPr>
        <w:t>geographic</w:t>
      </w:r>
      <w:r w:rsidRPr="007559B0">
        <w:rPr>
          <w:rFonts w:ascii="Times New Roman" w:eastAsia="Aptos" w:hAnsi="Times New Roman" w:cs="Times New Roman"/>
          <w:kern w:val="2"/>
          <w:sz w:val="24"/>
          <w:szCs w:val="24"/>
          <w14:ligatures w14:val="standardContextual"/>
        </w:rPr>
        <w:t xml:space="preserve"> scope.</w:t>
      </w:r>
      <w:r w:rsidR="00EE52E0" w:rsidRPr="007559B0">
        <w:rPr>
          <w:rFonts w:ascii="Times New Roman" w:hAnsi="Times New Roman" w:cs="Times New Roman"/>
          <w:sz w:val="24"/>
          <w:szCs w:val="24"/>
        </w:rPr>
        <w:t xml:space="preserve"> </w:t>
      </w:r>
      <w:r w:rsidR="00C9617E" w:rsidRPr="007559B0">
        <w:rPr>
          <w:rFonts w:ascii="Times New Roman" w:hAnsi="Times New Roman" w:cs="Times New Roman"/>
          <w:sz w:val="24"/>
          <w:szCs w:val="24"/>
        </w:rPr>
        <w:t>It is common utility practice to app</w:t>
      </w:r>
      <w:r w:rsidR="00ED6762" w:rsidRPr="007559B0">
        <w:rPr>
          <w:rFonts w:ascii="Times New Roman" w:hAnsi="Times New Roman" w:cs="Times New Roman"/>
          <w:sz w:val="24"/>
          <w:szCs w:val="24"/>
        </w:rPr>
        <w:t>ly limits on</w:t>
      </w:r>
      <w:r w:rsidR="001C4C22" w:rsidRPr="007559B0">
        <w:rPr>
          <w:rFonts w:ascii="Times New Roman" w:hAnsi="Times New Roman" w:cs="Times New Roman"/>
          <w:sz w:val="24"/>
          <w:szCs w:val="24"/>
        </w:rPr>
        <w:t xml:space="preserve"> generic resources in expansion plan modeling</w:t>
      </w:r>
      <w:r w:rsidR="00AF2F7C" w:rsidRPr="007559B0">
        <w:rPr>
          <w:rFonts w:ascii="Times New Roman" w:hAnsi="Times New Roman" w:cs="Times New Roman"/>
          <w:sz w:val="24"/>
          <w:szCs w:val="24"/>
        </w:rPr>
        <w:t>.</w:t>
      </w:r>
      <w:r w:rsidR="000C02CF">
        <w:t xml:space="preserve">  </w:t>
      </w:r>
    </w:p>
    <w:p w14:paraId="458D9544" w14:textId="2EE40100" w:rsidR="00882E84" w:rsidRPr="00A2039A" w:rsidRDefault="00A2039A" w:rsidP="00B51C88">
      <w:pPr>
        <w:pStyle w:val="ListParagraph"/>
        <w:numPr>
          <w:ilvl w:val="0"/>
          <w:numId w:val="10"/>
        </w:numPr>
        <w:spacing w:line="240" w:lineRule="auto"/>
        <w:contextualSpacing w:val="0"/>
        <w:jc w:val="both"/>
        <w:rPr>
          <w:rFonts w:ascii="Times New Roman" w:eastAsia="Aptos" w:hAnsi="Times New Roman" w:cs="Times New Roman"/>
          <w:kern w:val="2"/>
          <w:sz w:val="24"/>
          <w:szCs w:val="24"/>
          <w14:ligatures w14:val="standardContextual"/>
        </w:rPr>
      </w:pPr>
      <w:r w:rsidRPr="00A2039A">
        <w:rPr>
          <w:rFonts w:ascii="Times New Roman" w:eastAsia="Aptos" w:hAnsi="Times New Roman" w:cs="Times New Roman"/>
          <w:kern w:val="2"/>
          <w:sz w:val="24"/>
          <w:szCs w:val="24"/>
          <w14:ligatures w14:val="standardContextual"/>
        </w:rPr>
        <w:t xml:space="preserve">Given the challenges facing the pipeline infrastructure industry, the Company has applied a limit on the amount of new CC (including CC w/CCS) builds allowed in capacity </w:t>
      </w:r>
      <w:r w:rsidRPr="00A2039A">
        <w:rPr>
          <w:rFonts w:ascii="Times New Roman" w:eastAsia="Aptos" w:hAnsi="Times New Roman" w:cs="Times New Roman"/>
          <w:kern w:val="2"/>
          <w:sz w:val="24"/>
          <w:szCs w:val="24"/>
          <w14:ligatures w14:val="standardContextual"/>
        </w:rPr>
        <w:lastRenderedPageBreak/>
        <w:t xml:space="preserve">expansion modeling. The limit is a cumulative build constraint that is based on the amount of natural gas firm transportation </w:t>
      </w:r>
      <w:r w:rsidR="00BC2D89">
        <w:rPr>
          <w:rFonts w:ascii="Times New Roman" w:eastAsia="Aptos" w:hAnsi="Times New Roman" w:cs="Times New Roman"/>
          <w:kern w:val="2"/>
          <w:sz w:val="24"/>
          <w:szCs w:val="24"/>
          <w14:ligatures w14:val="standardContextual"/>
        </w:rPr>
        <w:t>(</w:t>
      </w:r>
      <w:r w:rsidRPr="00A2039A">
        <w:rPr>
          <w:rFonts w:ascii="Times New Roman" w:eastAsia="Aptos" w:hAnsi="Times New Roman" w:cs="Times New Roman"/>
          <w:kern w:val="2"/>
          <w:sz w:val="24"/>
          <w:szCs w:val="24"/>
          <w14:ligatures w14:val="standardContextual"/>
        </w:rPr>
        <w:t xml:space="preserve">“FT”) that is estimated to be available from retirement of existing resources, PPA expiration, and/or pipeline expansion.  </w:t>
      </w:r>
      <w:r w:rsidR="00882E84" w:rsidRPr="00A2039A">
        <w:rPr>
          <w:rFonts w:ascii="Times New Roman" w:hAnsi="Times New Roman" w:cs="Times New Roman"/>
          <w:sz w:val="24"/>
          <w:szCs w:val="24"/>
        </w:rPr>
        <w:t>See JKA-1-11 Attachment A TRADE SECRET</w:t>
      </w:r>
      <w:r>
        <w:rPr>
          <w:rFonts w:ascii="Times New Roman" w:hAnsi="Times New Roman" w:cs="Times New Roman"/>
          <w:sz w:val="24"/>
          <w:szCs w:val="24"/>
        </w:rPr>
        <w:t xml:space="preserve"> for derivation of the </w:t>
      </w:r>
      <w:r w:rsidR="003400B0">
        <w:rPr>
          <w:rFonts w:ascii="Times New Roman" w:hAnsi="Times New Roman" w:cs="Times New Roman"/>
          <w:sz w:val="24"/>
          <w:szCs w:val="24"/>
        </w:rPr>
        <w:t xml:space="preserve">FT </w:t>
      </w:r>
      <w:r>
        <w:rPr>
          <w:rFonts w:ascii="Times New Roman" w:hAnsi="Times New Roman" w:cs="Times New Roman"/>
          <w:sz w:val="24"/>
          <w:szCs w:val="24"/>
        </w:rPr>
        <w:t xml:space="preserve">limits used for </w:t>
      </w:r>
      <w:r w:rsidR="003400B0">
        <w:rPr>
          <w:rFonts w:ascii="Times New Roman" w:hAnsi="Times New Roman" w:cs="Times New Roman"/>
          <w:sz w:val="24"/>
          <w:szCs w:val="24"/>
        </w:rPr>
        <w:t xml:space="preserve">CC </w:t>
      </w:r>
      <w:r w:rsidR="004D0A2A">
        <w:rPr>
          <w:rFonts w:ascii="Times New Roman" w:hAnsi="Times New Roman" w:cs="Times New Roman"/>
          <w:sz w:val="24"/>
          <w:szCs w:val="24"/>
        </w:rPr>
        <w:t>expansion resources.</w:t>
      </w:r>
    </w:p>
    <w:p w14:paraId="4456A3A6" w14:textId="77777777" w:rsidR="00EA251A" w:rsidRPr="00204CB8" w:rsidRDefault="00EA251A" w:rsidP="00B51C88">
      <w:pPr>
        <w:pStyle w:val="ListParagraph"/>
        <w:numPr>
          <w:ilvl w:val="0"/>
          <w:numId w:val="10"/>
        </w:numPr>
        <w:spacing w:line="240" w:lineRule="auto"/>
        <w:contextualSpacing w:val="0"/>
        <w:jc w:val="both"/>
        <w:rPr>
          <w:rFonts w:ascii="Times New Roman" w:hAnsi="Times New Roman" w:cs="Times New Roman"/>
          <w:kern w:val="2"/>
          <w:sz w:val="24"/>
          <w:szCs w:val="24"/>
          <w14:ligatures w14:val="standardContextual"/>
        </w:rPr>
      </w:pPr>
      <w:r>
        <w:rPr>
          <w:rFonts w:ascii="Times New Roman" w:hAnsi="Times New Roman" w:cs="Times New Roman"/>
          <w:sz w:val="24"/>
          <w:szCs w:val="24"/>
        </w:rPr>
        <w:t>Please see the response to STF-JKA-1-13.</w:t>
      </w:r>
    </w:p>
    <w:p w14:paraId="4AD0F171" w14:textId="77777777" w:rsidR="00EA251A" w:rsidRPr="00204CB8" w:rsidRDefault="00EA251A" w:rsidP="00B51C88">
      <w:pPr>
        <w:pStyle w:val="ListParagraph"/>
        <w:numPr>
          <w:ilvl w:val="0"/>
          <w:numId w:val="10"/>
        </w:numPr>
        <w:spacing w:line="240" w:lineRule="auto"/>
        <w:contextualSpacing w:val="0"/>
        <w:jc w:val="both"/>
        <w:rPr>
          <w:rFonts w:ascii="Times New Roman" w:hAnsi="Times New Roman" w:cs="Times New Roman"/>
          <w:kern w:val="2"/>
          <w:sz w:val="24"/>
          <w:szCs w:val="24"/>
          <w14:ligatures w14:val="standardContextual"/>
        </w:rPr>
      </w:pPr>
      <w:r>
        <w:rPr>
          <w:rFonts w:ascii="Times New Roman" w:hAnsi="Times New Roman" w:cs="Times New Roman"/>
          <w:sz w:val="24"/>
          <w:szCs w:val="24"/>
        </w:rPr>
        <w:t>Please see the response to STF-JKA-1-13.</w:t>
      </w:r>
    </w:p>
    <w:p w14:paraId="08800418" w14:textId="4938B5C3" w:rsidR="004B4739" w:rsidRPr="00F413F7" w:rsidRDefault="2625376B" w:rsidP="00B51C88">
      <w:pPr>
        <w:pStyle w:val="ListParagraph"/>
        <w:numPr>
          <w:ilvl w:val="0"/>
          <w:numId w:val="10"/>
        </w:numPr>
        <w:spacing w:line="240" w:lineRule="auto"/>
        <w:contextualSpacing w:val="0"/>
        <w:jc w:val="both"/>
        <w:rPr>
          <w:rFonts w:ascii="Times New Roman" w:hAnsi="Times New Roman" w:cs="Times New Roman"/>
          <w:kern w:val="2"/>
          <w:sz w:val="24"/>
          <w:szCs w:val="24"/>
          <w14:ligatures w14:val="standardContextual"/>
        </w:rPr>
      </w:pPr>
      <w:r w:rsidRPr="00F413F7">
        <w:rPr>
          <w:rFonts w:ascii="Times New Roman" w:hAnsi="Times New Roman" w:cs="Times New Roman"/>
          <w:sz w:val="24"/>
          <w:szCs w:val="24"/>
        </w:rPr>
        <w:t>Georgia Power/SCS/Southern Company have not made any contractual or financial commitments to Transco for new capacity with receipt points in the Station 85 area.</w:t>
      </w:r>
    </w:p>
    <w:sectPr w:rsidR="004B4739" w:rsidRPr="00F413F7" w:rsidSect="00CA0E8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16466" w14:textId="77777777" w:rsidR="008310E9" w:rsidRDefault="008310E9">
      <w:pPr>
        <w:spacing w:after="0" w:line="240" w:lineRule="auto"/>
      </w:pPr>
      <w:r>
        <w:separator/>
      </w:r>
    </w:p>
  </w:endnote>
  <w:endnote w:type="continuationSeparator" w:id="0">
    <w:p w14:paraId="214F624A" w14:textId="77777777" w:rsidR="008310E9" w:rsidRDefault="008310E9">
      <w:pPr>
        <w:spacing w:after="0" w:line="240" w:lineRule="auto"/>
      </w:pPr>
      <w:r>
        <w:continuationSeparator/>
      </w:r>
    </w:p>
  </w:endnote>
  <w:endnote w:type="continuationNotice" w:id="1">
    <w:p w14:paraId="5C6303D7" w14:textId="77777777" w:rsidR="008310E9" w:rsidRDefault="008310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B1D57" w14:textId="2B7D28F6" w:rsidR="008927B8" w:rsidRDefault="00407F82">
    <w:pPr>
      <w:pStyle w:val="Footer"/>
    </w:pPr>
    <w:r>
      <w:rPr>
        <w:rFonts w:ascii="Times New Roman" w:hAnsi="Times New Roman"/>
        <w:sz w:val="24"/>
      </w:rPr>
      <w:t xml:space="preserve">Contact: </w:t>
    </w:r>
    <w:r w:rsidR="00EC05CB">
      <w:rPr>
        <w:rFonts w:ascii="Times New Roman" w:hAnsi="Times New Roman"/>
        <w:sz w:val="24"/>
      </w:rPr>
      <w:t>Randy Hubbert</w:t>
    </w:r>
    <w:r>
      <w:rPr>
        <w:rFonts w:ascii="Times New Roman" w:hAnsi="Times New Roman"/>
        <w:sz w:val="24"/>
      </w:rPr>
      <w:tab/>
    </w:r>
    <w:r w:rsidRPr="003B7401">
      <w:rPr>
        <w:rFonts w:ascii="Times New Roman" w:hAnsi="Times New Roman"/>
        <w:sz w:val="24"/>
      </w:rPr>
      <w:tab/>
      <w:t xml:space="preserve">Page </w:t>
    </w:r>
    <w:r w:rsidRPr="003B7401">
      <w:rPr>
        <w:rFonts w:ascii="Times New Roman" w:hAnsi="Times New Roman"/>
        <w:sz w:val="24"/>
      </w:rPr>
      <w:fldChar w:fldCharType="begin"/>
    </w:r>
    <w:r w:rsidRPr="003B7401">
      <w:rPr>
        <w:rFonts w:ascii="Times New Roman" w:hAnsi="Times New Roman"/>
        <w:sz w:val="24"/>
      </w:rPr>
      <w:instrText xml:space="preserve"> PAGE  \* Arabic  \* MERGEFORMAT </w:instrText>
    </w:r>
    <w:r w:rsidRPr="003B7401">
      <w:rPr>
        <w:rFonts w:ascii="Times New Roman" w:hAnsi="Times New Roman"/>
        <w:sz w:val="24"/>
      </w:rPr>
      <w:fldChar w:fldCharType="separate"/>
    </w:r>
    <w:r w:rsidRPr="003B7401">
      <w:rPr>
        <w:rFonts w:ascii="Times New Roman" w:hAnsi="Times New Roman"/>
        <w:noProof/>
        <w:sz w:val="24"/>
      </w:rPr>
      <w:t>1</w:t>
    </w:r>
    <w:r w:rsidRPr="003B7401">
      <w:rPr>
        <w:rFonts w:ascii="Times New Roman" w:hAnsi="Times New Roman"/>
        <w:sz w:val="24"/>
      </w:rPr>
      <w:fldChar w:fldCharType="end"/>
    </w:r>
    <w:r w:rsidRPr="003B7401">
      <w:rPr>
        <w:rFonts w:ascii="Times New Roman" w:hAnsi="Times New Roman"/>
        <w:sz w:val="24"/>
      </w:rPr>
      <w:t xml:space="preserve"> of </w:t>
    </w:r>
    <w:r w:rsidRPr="003B7401">
      <w:rPr>
        <w:rFonts w:ascii="Times New Roman" w:hAnsi="Times New Roman"/>
        <w:sz w:val="24"/>
      </w:rPr>
      <w:fldChar w:fldCharType="begin"/>
    </w:r>
    <w:r w:rsidRPr="003B7401">
      <w:rPr>
        <w:rFonts w:ascii="Times New Roman" w:hAnsi="Times New Roman"/>
        <w:sz w:val="24"/>
      </w:rPr>
      <w:instrText xml:space="preserve"> NUMPAGES  \* Arabic  \* MERGEFORMAT </w:instrText>
    </w:r>
    <w:r w:rsidRPr="003B7401">
      <w:rPr>
        <w:rFonts w:ascii="Times New Roman" w:hAnsi="Times New Roman"/>
        <w:sz w:val="24"/>
      </w:rPr>
      <w:fldChar w:fldCharType="separate"/>
    </w:r>
    <w:r w:rsidRPr="003B7401">
      <w:rPr>
        <w:rFonts w:ascii="Times New Roman" w:hAnsi="Times New Roman"/>
        <w:noProof/>
        <w:sz w:val="24"/>
      </w:rPr>
      <w:t>2</w:t>
    </w:r>
    <w:r w:rsidRPr="003B7401">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5ABF7" w14:textId="77777777" w:rsidR="008310E9" w:rsidRDefault="008310E9">
      <w:pPr>
        <w:spacing w:after="0" w:line="240" w:lineRule="auto"/>
      </w:pPr>
      <w:r>
        <w:separator/>
      </w:r>
    </w:p>
  </w:footnote>
  <w:footnote w:type="continuationSeparator" w:id="0">
    <w:p w14:paraId="7FAC08FC" w14:textId="77777777" w:rsidR="008310E9" w:rsidRDefault="008310E9">
      <w:pPr>
        <w:spacing w:after="0" w:line="240" w:lineRule="auto"/>
      </w:pPr>
      <w:r>
        <w:continuationSeparator/>
      </w:r>
    </w:p>
  </w:footnote>
  <w:footnote w:type="continuationNotice" w:id="1">
    <w:p w14:paraId="3A8CF8D8" w14:textId="77777777" w:rsidR="008310E9" w:rsidRDefault="008310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317CF" w14:textId="62A86F59" w:rsidR="00946798" w:rsidRPr="00326593" w:rsidRDefault="00326593" w:rsidP="00946798">
    <w:pPr>
      <w:pStyle w:val="Header"/>
      <w:jc w:val="center"/>
      <w:rPr>
        <w:rFonts w:ascii="Times New Roman" w:hAnsi="Times New Roman"/>
        <w:b/>
        <w:sz w:val="24"/>
      </w:rPr>
    </w:pPr>
    <w:r w:rsidRPr="00326593">
      <w:rPr>
        <w:rFonts w:ascii="Times New Roman" w:hAnsi="Times New Roman"/>
        <w:b/>
        <w:sz w:val="24"/>
      </w:rPr>
      <w:t>PUBLIC DISCLOSURE</w:t>
    </w:r>
  </w:p>
  <w:p w14:paraId="3D11CEEC" w14:textId="77777777" w:rsidR="003B7401" w:rsidRPr="00D62A4A" w:rsidRDefault="003B7401" w:rsidP="003B7401">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6F3BFA50" w14:textId="77777777" w:rsidR="003B7401" w:rsidRPr="00D62A4A" w:rsidRDefault="003B7401" w:rsidP="003B7401">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6AFED34F" w14:textId="77777777" w:rsidR="003B7401" w:rsidRPr="00D62A4A" w:rsidRDefault="003B7401" w:rsidP="003B7401">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4CFD6E77" w14:textId="77777777" w:rsidR="003B7401" w:rsidRPr="00D62A4A" w:rsidRDefault="003B7401" w:rsidP="003B7401">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3183B34F" w14:textId="77777777" w:rsidR="003B7401" w:rsidRPr="00D62A4A" w:rsidRDefault="003B7401" w:rsidP="003B7401">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24829CA4" w14:textId="77777777" w:rsidR="003B7401" w:rsidRPr="00D62A4A" w:rsidRDefault="003B7401" w:rsidP="003B7401">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E908DE"/>
    <w:multiLevelType w:val="hybridMultilevel"/>
    <w:tmpl w:val="9F340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191EAB"/>
    <w:multiLevelType w:val="hybridMultilevel"/>
    <w:tmpl w:val="ADBEE09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B44B1B"/>
    <w:multiLevelType w:val="hybridMultilevel"/>
    <w:tmpl w:val="8C2E2F30"/>
    <w:lvl w:ilvl="0" w:tplc="F698B57A">
      <w:start w:val="1"/>
      <w:numFmt w:val="lowerLetter"/>
      <w:lvlText w:val="%1."/>
      <w:lvlJc w:val="left"/>
      <w:pPr>
        <w:ind w:left="720" w:hanging="360"/>
      </w:pPr>
      <w:rPr>
        <w:rFonts w:ascii="Times New Roman" w:hAnsi="Times New Roman" w:hint="default"/>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FC2DFE"/>
    <w:multiLevelType w:val="hybridMultilevel"/>
    <w:tmpl w:val="31A87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446FC6"/>
    <w:multiLevelType w:val="hybridMultilevel"/>
    <w:tmpl w:val="C1DA8148"/>
    <w:lvl w:ilvl="0" w:tplc="F698B57A">
      <w:start w:val="1"/>
      <w:numFmt w:val="lowerLetter"/>
      <w:lvlText w:val="%1."/>
      <w:lvlJc w:val="left"/>
      <w:pPr>
        <w:ind w:left="720" w:hanging="360"/>
      </w:pPr>
      <w:rPr>
        <w:rFonts w:ascii="Times New Roman" w:hAnsi="Times New Roman" w:hint="default"/>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493351"/>
    <w:multiLevelType w:val="hybridMultilevel"/>
    <w:tmpl w:val="B214287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FA404F7"/>
    <w:multiLevelType w:val="hybridMultilevel"/>
    <w:tmpl w:val="02C6ADC6"/>
    <w:lvl w:ilvl="0" w:tplc="87CAF2E0">
      <w:start w:val="1"/>
      <w:numFmt w:val="lowerLetter"/>
      <w:lvlText w:val="%1."/>
      <w:lvlJc w:val="left"/>
      <w:pPr>
        <w:ind w:left="927" w:hanging="360"/>
      </w:pPr>
      <w:rPr>
        <w:rFonts w:ascii="Times New Roman" w:hAnsi="Times New Roman"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38071010">
    <w:abstractNumId w:val="8"/>
  </w:num>
  <w:num w:numId="2" w16cid:durableId="93021218">
    <w:abstractNumId w:val="6"/>
  </w:num>
  <w:num w:numId="3" w16cid:durableId="1832404629">
    <w:abstractNumId w:val="5"/>
  </w:num>
  <w:num w:numId="4" w16cid:durableId="1620792912">
    <w:abstractNumId w:val="4"/>
  </w:num>
  <w:num w:numId="5" w16cid:durableId="236667656">
    <w:abstractNumId w:val="7"/>
  </w:num>
  <w:num w:numId="6" w16cid:durableId="370767746">
    <w:abstractNumId w:val="3"/>
  </w:num>
  <w:num w:numId="7" w16cid:durableId="152764711">
    <w:abstractNumId w:val="2"/>
  </w:num>
  <w:num w:numId="8" w16cid:durableId="19094777">
    <w:abstractNumId w:val="1"/>
  </w:num>
  <w:num w:numId="9" w16cid:durableId="536937080">
    <w:abstractNumId w:val="0"/>
  </w:num>
  <w:num w:numId="10" w16cid:durableId="605189858">
    <w:abstractNumId w:val="11"/>
  </w:num>
  <w:num w:numId="11" w16cid:durableId="979575936">
    <w:abstractNumId w:val="9"/>
  </w:num>
  <w:num w:numId="12" w16cid:durableId="2033603898">
    <w:abstractNumId w:val="12"/>
  </w:num>
  <w:num w:numId="13" w16cid:durableId="363869901">
    <w:abstractNumId w:val="10"/>
  </w:num>
  <w:num w:numId="14" w16cid:durableId="1980375928">
    <w:abstractNumId w:val="14"/>
  </w:num>
  <w:num w:numId="15" w16cid:durableId="8603000">
    <w:abstractNumId w:val="13"/>
  </w:num>
  <w:num w:numId="16" w16cid:durableId="23630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138C"/>
    <w:rsid w:val="000029E9"/>
    <w:rsid w:val="000055F7"/>
    <w:rsid w:val="00020B30"/>
    <w:rsid w:val="00024489"/>
    <w:rsid w:val="00034616"/>
    <w:rsid w:val="0003774E"/>
    <w:rsid w:val="00043189"/>
    <w:rsid w:val="0005631C"/>
    <w:rsid w:val="0006063C"/>
    <w:rsid w:val="00065A99"/>
    <w:rsid w:val="00073A80"/>
    <w:rsid w:val="00083C42"/>
    <w:rsid w:val="0009303D"/>
    <w:rsid w:val="000A3995"/>
    <w:rsid w:val="000A5848"/>
    <w:rsid w:val="000C02CF"/>
    <w:rsid w:val="000D6DCB"/>
    <w:rsid w:val="000E3AAD"/>
    <w:rsid w:val="000E3FD6"/>
    <w:rsid w:val="000F4B50"/>
    <w:rsid w:val="000F5A93"/>
    <w:rsid w:val="0010601B"/>
    <w:rsid w:val="00127FB6"/>
    <w:rsid w:val="00133E9C"/>
    <w:rsid w:val="0013418D"/>
    <w:rsid w:val="00147B4D"/>
    <w:rsid w:val="0015074B"/>
    <w:rsid w:val="00152D13"/>
    <w:rsid w:val="00164C8F"/>
    <w:rsid w:val="00175F77"/>
    <w:rsid w:val="001851E4"/>
    <w:rsid w:val="0019481B"/>
    <w:rsid w:val="001A044A"/>
    <w:rsid w:val="001A2D35"/>
    <w:rsid w:val="001A4D53"/>
    <w:rsid w:val="001A5656"/>
    <w:rsid w:val="001B14C6"/>
    <w:rsid w:val="001B5102"/>
    <w:rsid w:val="001B5F83"/>
    <w:rsid w:val="001C27F7"/>
    <w:rsid w:val="001C29BA"/>
    <w:rsid w:val="001C4C22"/>
    <w:rsid w:val="001D0C6B"/>
    <w:rsid w:val="001D22DD"/>
    <w:rsid w:val="001D2C30"/>
    <w:rsid w:val="001E6A2B"/>
    <w:rsid w:val="00224144"/>
    <w:rsid w:val="0022536E"/>
    <w:rsid w:val="002315BB"/>
    <w:rsid w:val="00233CE2"/>
    <w:rsid w:val="00237A7C"/>
    <w:rsid w:val="00241D3F"/>
    <w:rsid w:val="00243477"/>
    <w:rsid w:val="00257409"/>
    <w:rsid w:val="00260566"/>
    <w:rsid w:val="002816E9"/>
    <w:rsid w:val="00287577"/>
    <w:rsid w:val="0029639D"/>
    <w:rsid w:val="00296899"/>
    <w:rsid w:val="002970B3"/>
    <w:rsid w:val="002B17D7"/>
    <w:rsid w:val="002C52B5"/>
    <w:rsid w:val="002C565F"/>
    <w:rsid w:val="002D1F9A"/>
    <w:rsid w:val="002E609B"/>
    <w:rsid w:val="002F0AF4"/>
    <w:rsid w:val="002F3CC6"/>
    <w:rsid w:val="00326593"/>
    <w:rsid w:val="00326F90"/>
    <w:rsid w:val="00333855"/>
    <w:rsid w:val="003354B5"/>
    <w:rsid w:val="003400B0"/>
    <w:rsid w:val="00353B34"/>
    <w:rsid w:val="00360DAA"/>
    <w:rsid w:val="00361781"/>
    <w:rsid w:val="003800AE"/>
    <w:rsid w:val="00382126"/>
    <w:rsid w:val="00386744"/>
    <w:rsid w:val="00392ECF"/>
    <w:rsid w:val="00396E4C"/>
    <w:rsid w:val="003A5B80"/>
    <w:rsid w:val="003B7401"/>
    <w:rsid w:val="003B755B"/>
    <w:rsid w:val="003C3D34"/>
    <w:rsid w:val="003D2735"/>
    <w:rsid w:val="003E77CE"/>
    <w:rsid w:val="003F2996"/>
    <w:rsid w:val="00404868"/>
    <w:rsid w:val="00407F82"/>
    <w:rsid w:val="004125DE"/>
    <w:rsid w:val="00412E37"/>
    <w:rsid w:val="004164D9"/>
    <w:rsid w:val="0043048E"/>
    <w:rsid w:val="00430FF3"/>
    <w:rsid w:val="00431453"/>
    <w:rsid w:val="00432931"/>
    <w:rsid w:val="004374FE"/>
    <w:rsid w:val="00446129"/>
    <w:rsid w:val="004628B6"/>
    <w:rsid w:val="00463930"/>
    <w:rsid w:val="004640C0"/>
    <w:rsid w:val="00470B7E"/>
    <w:rsid w:val="004940DB"/>
    <w:rsid w:val="004975C2"/>
    <w:rsid w:val="004B4739"/>
    <w:rsid w:val="004C5C78"/>
    <w:rsid w:val="004D0A2A"/>
    <w:rsid w:val="00506990"/>
    <w:rsid w:val="00515BF6"/>
    <w:rsid w:val="00523AF6"/>
    <w:rsid w:val="00524D6F"/>
    <w:rsid w:val="00533791"/>
    <w:rsid w:val="00533A59"/>
    <w:rsid w:val="005439AE"/>
    <w:rsid w:val="005470E6"/>
    <w:rsid w:val="0055402D"/>
    <w:rsid w:val="005552FB"/>
    <w:rsid w:val="0056456F"/>
    <w:rsid w:val="005665A6"/>
    <w:rsid w:val="005702E6"/>
    <w:rsid w:val="00576E4F"/>
    <w:rsid w:val="00587C6F"/>
    <w:rsid w:val="00592A91"/>
    <w:rsid w:val="00592B97"/>
    <w:rsid w:val="0059302C"/>
    <w:rsid w:val="00594905"/>
    <w:rsid w:val="0059502F"/>
    <w:rsid w:val="005A0618"/>
    <w:rsid w:val="005B30DD"/>
    <w:rsid w:val="005B49FD"/>
    <w:rsid w:val="005B5820"/>
    <w:rsid w:val="005C0FD6"/>
    <w:rsid w:val="005C1878"/>
    <w:rsid w:val="005C28C1"/>
    <w:rsid w:val="005C7984"/>
    <w:rsid w:val="005C7C60"/>
    <w:rsid w:val="005E4023"/>
    <w:rsid w:val="005F362F"/>
    <w:rsid w:val="0060519C"/>
    <w:rsid w:val="00613AD1"/>
    <w:rsid w:val="006174B7"/>
    <w:rsid w:val="00625151"/>
    <w:rsid w:val="006278D4"/>
    <w:rsid w:val="00641EAE"/>
    <w:rsid w:val="0064350D"/>
    <w:rsid w:val="00644D37"/>
    <w:rsid w:val="00650F54"/>
    <w:rsid w:val="006601B6"/>
    <w:rsid w:val="00661128"/>
    <w:rsid w:val="0066747D"/>
    <w:rsid w:val="006747FC"/>
    <w:rsid w:val="0067632F"/>
    <w:rsid w:val="006800DD"/>
    <w:rsid w:val="00682FFB"/>
    <w:rsid w:val="00684E77"/>
    <w:rsid w:val="00685B96"/>
    <w:rsid w:val="00694BA5"/>
    <w:rsid w:val="0069605F"/>
    <w:rsid w:val="00696770"/>
    <w:rsid w:val="0069736E"/>
    <w:rsid w:val="006A34DF"/>
    <w:rsid w:val="006B5D65"/>
    <w:rsid w:val="006C343A"/>
    <w:rsid w:val="006C4F03"/>
    <w:rsid w:val="006C51F6"/>
    <w:rsid w:val="006C5A2D"/>
    <w:rsid w:val="006D05C2"/>
    <w:rsid w:val="006D37E1"/>
    <w:rsid w:val="006E53CF"/>
    <w:rsid w:val="006F3AA2"/>
    <w:rsid w:val="00704775"/>
    <w:rsid w:val="00707641"/>
    <w:rsid w:val="00733723"/>
    <w:rsid w:val="007453D4"/>
    <w:rsid w:val="00754131"/>
    <w:rsid w:val="007559B0"/>
    <w:rsid w:val="00761A24"/>
    <w:rsid w:val="0077595F"/>
    <w:rsid w:val="00796282"/>
    <w:rsid w:val="007B6F3A"/>
    <w:rsid w:val="007E6499"/>
    <w:rsid w:val="007E6723"/>
    <w:rsid w:val="007E72C6"/>
    <w:rsid w:val="00801030"/>
    <w:rsid w:val="00803190"/>
    <w:rsid w:val="00817A27"/>
    <w:rsid w:val="00822D31"/>
    <w:rsid w:val="008310E9"/>
    <w:rsid w:val="0083401A"/>
    <w:rsid w:val="008515F5"/>
    <w:rsid w:val="00854B12"/>
    <w:rsid w:val="00860DE2"/>
    <w:rsid w:val="00863348"/>
    <w:rsid w:val="00866968"/>
    <w:rsid w:val="0087466B"/>
    <w:rsid w:val="00874F6C"/>
    <w:rsid w:val="00882E84"/>
    <w:rsid w:val="008927B8"/>
    <w:rsid w:val="008A6FB1"/>
    <w:rsid w:val="008B5C24"/>
    <w:rsid w:val="008B7230"/>
    <w:rsid w:val="008C30EA"/>
    <w:rsid w:val="008E0A6C"/>
    <w:rsid w:val="008E27DA"/>
    <w:rsid w:val="008E6848"/>
    <w:rsid w:val="008F3B31"/>
    <w:rsid w:val="008F604E"/>
    <w:rsid w:val="0090046F"/>
    <w:rsid w:val="00906D88"/>
    <w:rsid w:val="00915FE3"/>
    <w:rsid w:val="00924511"/>
    <w:rsid w:val="009268D9"/>
    <w:rsid w:val="00926ED6"/>
    <w:rsid w:val="00946798"/>
    <w:rsid w:val="00947EF5"/>
    <w:rsid w:val="0095562A"/>
    <w:rsid w:val="00955A07"/>
    <w:rsid w:val="00963B97"/>
    <w:rsid w:val="00976EFB"/>
    <w:rsid w:val="0098343E"/>
    <w:rsid w:val="00983E10"/>
    <w:rsid w:val="009A1995"/>
    <w:rsid w:val="009A4E32"/>
    <w:rsid w:val="009B4CFB"/>
    <w:rsid w:val="009B67B1"/>
    <w:rsid w:val="009C3517"/>
    <w:rsid w:val="009E15C1"/>
    <w:rsid w:val="009E5BE2"/>
    <w:rsid w:val="009F526F"/>
    <w:rsid w:val="00A02B56"/>
    <w:rsid w:val="00A05664"/>
    <w:rsid w:val="00A120E9"/>
    <w:rsid w:val="00A2039A"/>
    <w:rsid w:val="00A20E3F"/>
    <w:rsid w:val="00A3536D"/>
    <w:rsid w:val="00A458EC"/>
    <w:rsid w:val="00A50870"/>
    <w:rsid w:val="00A6198A"/>
    <w:rsid w:val="00AA0CA8"/>
    <w:rsid w:val="00AA1D8D"/>
    <w:rsid w:val="00AB0131"/>
    <w:rsid w:val="00AB1894"/>
    <w:rsid w:val="00AC5A84"/>
    <w:rsid w:val="00AD060A"/>
    <w:rsid w:val="00AF1BC5"/>
    <w:rsid w:val="00AF2F7C"/>
    <w:rsid w:val="00AF40C8"/>
    <w:rsid w:val="00B12364"/>
    <w:rsid w:val="00B24A2F"/>
    <w:rsid w:val="00B2667F"/>
    <w:rsid w:val="00B32453"/>
    <w:rsid w:val="00B34E25"/>
    <w:rsid w:val="00B35A11"/>
    <w:rsid w:val="00B47730"/>
    <w:rsid w:val="00B51C88"/>
    <w:rsid w:val="00B56C2F"/>
    <w:rsid w:val="00B57D7C"/>
    <w:rsid w:val="00B61311"/>
    <w:rsid w:val="00B7128B"/>
    <w:rsid w:val="00B721D7"/>
    <w:rsid w:val="00B72FA7"/>
    <w:rsid w:val="00B76638"/>
    <w:rsid w:val="00B9055E"/>
    <w:rsid w:val="00BA0D30"/>
    <w:rsid w:val="00BA681E"/>
    <w:rsid w:val="00BC2D89"/>
    <w:rsid w:val="00BD48C5"/>
    <w:rsid w:val="00BD6227"/>
    <w:rsid w:val="00BD6402"/>
    <w:rsid w:val="00BE13B7"/>
    <w:rsid w:val="00BE3D0E"/>
    <w:rsid w:val="00BF33C8"/>
    <w:rsid w:val="00BF4A16"/>
    <w:rsid w:val="00BF7BC1"/>
    <w:rsid w:val="00C032DF"/>
    <w:rsid w:val="00C15588"/>
    <w:rsid w:val="00C20FAA"/>
    <w:rsid w:val="00C403A4"/>
    <w:rsid w:val="00C44964"/>
    <w:rsid w:val="00C469C0"/>
    <w:rsid w:val="00C5383E"/>
    <w:rsid w:val="00C8631E"/>
    <w:rsid w:val="00C868EA"/>
    <w:rsid w:val="00C94B2E"/>
    <w:rsid w:val="00C94C08"/>
    <w:rsid w:val="00C9617E"/>
    <w:rsid w:val="00CA015C"/>
    <w:rsid w:val="00CA0255"/>
    <w:rsid w:val="00CA0E85"/>
    <w:rsid w:val="00CA2BE8"/>
    <w:rsid w:val="00CA6E38"/>
    <w:rsid w:val="00CB0664"/>
    <w:rsid w:val="00CB23A0"/>
    <w:rsid w:val="00CB56EF"/>
    <w:rsid w:val="00CB65AF"/>
    <w:rsid w:val="00CC71EE"/>
    <w:rsid w:val="00CD1475"/>
    <w:rsid w:val="00CF2EE6"/>
    <w:rsid w:val="00CF3FA3"/>
    <w:rsid w:val="00D14D3E"/>
    <w:rsid w:val="00D21CF2"/>
    <w:rsid w:val="00D335AE"/>
    <w:rsid w:val="00D33A23"/>
    <w:rsid w:val="00D360BD"/>
    <w:rsid w:val="00D3614A"/>
    <w:rsid w:val="00D47496"/>
    <w:rsid w:val="00D5523A"/>
    <w:rsid w:val="00D80CDE"/>
    <w:rsid w:val="00D81889"/>
    <w:rsid w:val="00D863D6"/>
    <w:rsid w:val="00D90D64"/>
    <w:rsid w:val="00D9669F"/>
    <w:rsid w:val="00D977E2"/>
    <w:rsid w:val="00D97902"/>
    <w:rsid w:val="00D97DC0"/>
    <w:rsid w:val="00DA0162"/>
    <w:rsid w:val="00DB3E1E"/>
    <w:rsid w:val="00DC67B2"/>
    <w:rsid w:val="00DD22CA"/>
    <w:rsid w:val="00DD50C6"/>
    <w:rsid w:val="00DF431C"/>
    <w:rsid w:val="00DF49B1"/>
    <w:rsid w:val="00DF7544"/>
    <w:rsid w:val="00E02058"/>
    <w:rsid w:val="00E13BF5"/>
    <w:rsid w:val="00E17E09"/>
    <w:rsid w:val="00E204DB"/>
    <w:rsid w:val="00E31002"/>
    <w:rsid w:val="00E335B9"/>
    <w:rsid w:val="00E416E1"/>
    <w:rsid w:val="00E41DA4"/>
    <w:rsid w:val="00E45407"/>
    <w:rsid w:val="00E54327"/>
    <w:rsid w:val="00E56D38"/>
    <w:rsid w:val="00E85CDE"/>
    <w:rsid w:val="00E9568C"/>
    <w:rsid w:val="00EA251A"/>
    <w:rsid w:val="00EB3250"/>
    <w:rsid w:val="00EB3ACF"/>
    <w:rsid w:val="00EC05CB"/>
    <w:rsid w:val="00ED3EF3"/>
    <w:rsid w:val="00ED6762"/>
    <w:rsid w:val="00EE3F8A"/>
    <w:rsid w:val="00EE52E0"/>
    <w:rsid w:val="00F20212"/>
    <w:rsid w:val="00F22D91"/>
    <w:rsid w:val="00F413F7"/>
    <w:rsid w:val="00F42AB1"/>
    <w:rsid w:val="00F463EF"/>
    <w:rsid w:val="00F64AFF"/>
    <w:rsid w:val="00F65ADB"/>
    <w:rsid w:val="00F7604A"/>
    <w:rsid w:val="00F83ECE"/>
    <w:rsid w:val="00F90E97"/>
    <w:rsid w:val="00F95D35"/>
    <w:rsid w:val="00FA3606"/>
    <w:rsid w:val="00FA36AD"/>
    <w:rsid w:val="00FA5120"/>
    <w:rsid w:val="00FC56AB"/>
    <w:rsid w:val="00FC693F"/>
    <w:rsid w:val="00FD41A6"/>
    <w:rsid w:val="00FD54E5"/>
    <w:rsid w:val="00FE25CF"/>
    <w:rsid w:val="00FF057F"/>
    <w:rsid w:val="00FF0640"/>
    <w:rsid w:val="00FF6BC0"/>
    <w:rsid w:val="034B8DAC"/>
    <w:rsid w:val="03934595"/>
    <w:rsid w:val="0585B29A"/>
    <w:rsid w:val="08251AB8"/>
    <w:rsid w:val="0AD05295"/>
    <w:rsid w:val="0D3A56A6"/>
    <w:rsid w:val="0DE03B6A"/>
    <w:rsid w:val="140D0DF5"/>
    <w:rsid w:val="1491BD49"/>
    <w:rsid w:val="1834ADD4"/>
    <w:rsid w:val="1CC0B767"/>
    <w:rsid w:val="206C50CA"/>
    <w:rsid w:val="23CFAACD"/>
    <w:rsid w:val="2625376B"/>
    <w:rsid w:val="27850093"/>
    <w:rsid w:val="2A0673A5"/>
    <w:rsid w:val="2B7CCC4B"/>
    <w:rsid w:val="2CBF7E42"/>
    <w:rsid w:val="2EEEBDAE"/>
    <w:rsid w:val="320CFABF"/>
    <w:rsid w:val="345644C9"/>
    <w:rsid w:val="3496F011"/>
    <w:rsid w:val="355B7C63"/>
    <w:rsid w:val="373F4491"/>
    <w:rsid w:val="39E5440D"/>
    <w:rsid w:val="3CA28ADD"/>
    <w:rsid w:val="3D08D304"/>
    <w:rsid w:val="42D75736"/>
    <w:rsid w:val="4483731C"/>
    <w:rsid w:val="45175248"/>
    <w:rsid w:val="454318A7"/>
    <w:rsid w:val="47058090"/>
    <w:rsid w:val="48DA6C4B"/>
    <w:rsid w:val="4A6200E4"/>
    <w:rsid w:val="4D911A03"/>
    <w:rsid w:val="4EA3F09F"/>
    <w:rsid w:val="51905EFA"/>
    <w:rsid w:val="52811B6F"/>
    <w:rsid w:val="52D4D9EA"/>
    <w:rsid w:val="56C2ABC5"/>
    <w:rsid w:val="5B27D9A5"/>
    <w:rsid w:val="5BA1FEF1"/>
    <w:rsid w:val="6118619B"/>
    <w:rsid w:val="6802C880"/>
    <w:rsid w:val="68D5CB6C"/>
    <w:rsid w:val="6C10C8A6"/>
    <w:rsid w:val="6DC4BE8B"/>
    <w:rsid w:val="6FD4E45B"/>
    <w:rsid w:val="717E68FB"/>
    <w:rsid w:val="7A3960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3800AE"/>
    <w:rPr>
      <w:sz w:val="16"/>
      <w:szCs w:val="16"/>
    </w:rPr>
  </w:style>
  <w:style w:type="paragraph" w:styleId="CommentText">
    <w:name w:val="annotation text"/>
    <w:basedOn w:val="Normal"/>
    <w:link w:val="CommentTextChar"/>
    <w:uiPriority w:val="99"/>
    <w:unhideWhenUsed/>
    <w:rsid w:val="003800AE"/>
    <w:pPr>
      <w:spacing w:line="240" w:lineRule="auto"/>
    </w:pPr>
    <w:rPr>
      <w:sz w:val="20"/>
      <w:szCs w:val="20"/>
    </w:rPr>
  </w:style>
  <w:style w:type="character" w:customStyle="1" w:styleId="CommentTextChar">
    <w:name w:val="Comment Text Char"/>
    <w:basedOn w:val="DefaultParagraphFont"/>
    <w:link w:val="CommentText"/>
    <w:uiPriority w:val="99"/>
    <w:rsid w:val="003800AE"/>
    <w:rPr>
      <w:sz w:val="20"/>
      <w:szCs w:val="20"/>
    </w:rPr>
  </w:style>
  <w:style w:type="paragraph" w:styleId="CommentSubject">
    <w:name w:val="annotation subject"/>
    <w:basedOn w:val="CommentText"/>
    <w:next w:val="CommentText"/>
    <w:link w:val="CommentSubjectChar"/>
    <w:uiPriority w:val="99"/>
    <w:semiHidden/>
    <w:unhideWhenUsed/>
    <w:rsid w:val="003800AE"/>
    <w:rPr>
      <w:b/>
      <w:bCs/>
    </w:rPr>
  </w:style>
  <w:style w:type="character" w:customStyle="1" w:styleId="CommentSubjectChar">
    <w:name w:val="Comment Subject Char"/>
    <w:basedOn w:val="CommentTextChar"/>
    <w:link w:val="CommentSubject"/>
    <w:uiPriority w:val="99"/>
    <w:semiHidden/>
    <w:rsid w:val="003800AE"/>
    <w:rPr>
      <w:b/>
      <w:bCs/>
      <w:sz w:val="20"/>
      <w:szCs w:val="20"/>
    </w:rPr>
  </w:style>
  <w:style w:type="table" w:customStyle="1" w:styleId="TableGrid1">
    <w:name w:val="Table Grid1"/>
    <w:basedOn w:val="TableNormal"/>
    <w:next w:val="TableGrid"/>
    <w:uiPriority w:val="39"/>
    <w:rsid w:val="0043048E"/>
    <w:pPr>
      <w:spacing w:after="0" w:line="240" w:lineRule="auto"/>
    </w:pPr>
    <w:rPr>
      <w:rFonts w:eastAsia="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02058"/>
    <w:rPr>
      <w:color w:val="2B579A"/>
      <w:shd w:val="clear" w:color="auto" w:fill="E1DFDD"/>
    </w:rPr>
  </w:style>
  <w:style w:type="paragraph" w:styleId="Revision">
    <w:name w:val="Revision"/>
    <w:hidden/>
    <w:uiPriority w:val="99"/>
    <w:semiHidden/>
    <w:rsid w:val="002241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51807644-5AB5-4D7D-BE0A-946CC64EF7E5}"/>
</file>

<file path=customXml/itemProps3.xml><?xml version="1.0" encoding="utf-8"?>
<ds:datastoreItem xmlns:ds="http://schemas.openxmlformats.org/officeDocument/2006/customXml" ds:itemID="{7DD34AAF-01EB-45F1-A329-06DCEB6E044D}"/>
</file>

<file path=customXml/itemProps4.xml><?xml version="1.0" encoding="utf-8"?>
<ds:datastoreItem xmlns:ds="http://schemas.openxmlformats.org/officeDocument/2006/customXml" ds:itemID="{AEA2498F-5996-4639-9E19-0217FFBBF0C3}"/>
</file>

<file path=docProps/app.xml><?xml version="1.0" encoding="utf-8"?>
<Properties xmlns="http://schemas.openxmlformats.org/officeDocument/2006/extended-properties" xmlns:vt="http://schemas.openxmlformats.org/officeDocument/2006/docPropsVTypes">
  <Template>Normal</Template>
  <TotalTime>0</TotalTime>
  <Pages>4</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2025-03-01T04:57:00Z</dcterms:created>
  <dcterms:modified xsi:type="dcterms:W3CDTF">2025-03-01T04:57:00Z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2025-03-01T04:57:10Z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5b91ee71-0ddc-42b2-b7df-a875bcddc4b2</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3229500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